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tbl>
      <w:tblPr>
        <w:name w:val="Таблица1"/>
        <w:tabOrder w:val="0"/>
        <w:jc w:val="left"/>
        <w:tblInd w:w="-107" w:type="dxa"/>
        <w:tblW w:w="10182" w:type="dxa"/>
        <w:pPr>
          <w:ind w:left="-107"/>
          <w:spacing/>
          <w:jc w:val="left"/>
        </w:pPr>
      </w:tblPr>
      <w:tblGrid>
        <w:gridCol w:w="1529"/>
        <w:gridCol w:w="628"/>
        <w:gridCol w:w="396"/>
        <w:gridCol w:w="1752"/>
        <w:gridCol w:w="529"/>
        <w:gridCol w:w="506"/>
        <w:gridCol w:w="585"/>
        <w:gridCol w:w="586"/>
        <w:gridCol w:w="1961"/>
        <w:gridCol w:w="1710"/>
      </w:tblGrid>
      <w:tr>
        <w:trPr>
          <w:tblHeader w:val="0"/>
          <w:cantSplit w:val="0"/>
          <w:trHeight w:val="1210" w:hRule="atLeast"/>
        </w:trPr>
        <w:tc>
          <w:tcPr>
            <w:tcW w:w="1018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/>
            <w:r>
              <w:rPr>
                <w:noProof/>
              </w:rPr>
              <w:drawing>
                <wp:inline distT="0" distB="0" distL="0" distR="0">
                  <wp:extent cx="453390" cy="719455"/>
                  <wp:effectExtent l="0" t="0" r="0" b="0"/>
                  <wp:docPr id="1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2"/>
                          <pic:cNvPicPr>
                            <a:picLocks noChangeAspect="1"/>
                            <a:extLst>
                              <a:ext uri="sm">
                                <sm:smNativeData xmlns:sm="sm" val="SMDATA_16_u0LWaB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BAAAAAAAAAAAAAAAAAAAAAAAAAAAAAAAAAAAAygIAAG0EAAAAAAAAAAAAAAAAAAAoAAAACAAAAAEAAAABAAAA"/>
                              </a:ext>
                            </a:extLst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390" cy="71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/>
          </w:p>
        </w:tc>
      </w:tr>
      <w:tr>
        <w:trPr>
          <w:tblHeader w:val="0"/>
          <w:cantSplit w:val="0"/>
          <w:trHeight w:val="1336" w:hRule="atLeast"/>
        </w:trPr>
        <w:tc>
          <w:tcPr>
            <w:tcW w:w="1018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 w:line="276" w:lineRule="auto"/>
              <w:rPr>
                <w:b/>
                <w:caps/>
                <w:szCs w:val="28"/>
              </w:rPr>
            </w:pPr>
            <w:r/>
            <w:bookmarkStart w:id="0" w:name="r06"/>
            <w:r/>
            <w:r>
              <w:rPr>
                <w:b/>
                <w:caps/>
                <w:szCs w:val="28"/>
              </w:rPr>
              <w:t>КЕМЕРОВСКАЯ ОБЛАСТЬ</w:t>
            </w:r>
            <w:r>
              <w:rPr>
                <w:b/>
                <w:caps/>
                <w:szCs w:val="28"/>
              </w:rPr>
            </w:r>
          </w:p>
          <w:p>
            <w:pPr>
              <w:spacing w:line="276" w:lineRule="auto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Анжеро-Судженский городской округ</w:t>
            </w:r>
          </w:p>
          <w:p>
            <w:pPr>
              <w:spacing w:line="276" w:lineRule="auto"/>
              <w:rPr>
                <w:b/>
                <w:caps/>
                <w:szCs w:val="28"/>
              </w:rPr>
            </w:pPr>
            <w:r/>
            <w:bookmarkStart w:id="0" w:name="r06"/>
            <w:r/>
            <w:r>
              <w:rPr>
                <w:b/>
                <w:caps/>
                <w:szCs w:val="28"/>
              </w:rPr>
              <w:t>Администрация Анжеро-Судженского</w:t>
            </w:r>
            <w:r/>
            <w:bookmarkEnd w:id="0"/>
            <w:r/>
            <w:r>
              <w:rPr>
                <w:b/>
                <w:caps/>
                <w:szCs w:val="28"/>
              </w:rPr>
              <w:t xml:space="preserve"> городского округа</w:t>
            </w:r>
            <w:r>
              <w:rPr>
                <w:b/>
                <w:caps/>
                <w:szCs w:val="28"/>
              </w:rPr>
            </w:r>
          </w:p>
          <w:p>
            <w:pPr>
              <w:spacing w:line="360" w:lineRule="auto"/>
              <w:rPr>
                <w:rFonts w:ascii="Arial Narrow" w:hAnsi="Arial Narrow" w:cs="Arial Narrow"/>
                <w:b/>
                <w:cap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caps/>
                <w:sz w:val="26"/>
                <w:szCs w:val="26"/>
              </w:rPr>
            </w:r>
          </w:p>
        </w:tc>
      </w:tr>
      <w:tr>
        <w:trPr>
          <w:tblHeader w:val="0"/>
          <w:cantSplit w:val="0"/>
          <w:trHeight w:val="493" w:hRule="exact"/>
        </w:trPr>
        <w:tc>
          <w:tcPr>
            <w:tcW w:w="1018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</w:tc>
      </w:tr>
      <w:tr>
        <w:trPr>
          <w:tblHeader w:val="0"/>
          <w:cantSplit w:val="0"/>
          <w:trHeight w:val="267" w:hRule="atLeast"/>
        </w:trPr>
        <w:tc>
          <w:tcPr>
            <w:tcW w:w="10182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rFonts w:ascii="Arial Narrow" w:hAnsi="Arial Narrow" w:cs="Arial Narrow"/>
                <w:b/>
                <w:cap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caps/>
                <w:sz w:val="16"/>
                <w:szCs w:val="16"/>
              </w:rPr>
            </w:r>
          </w:p>
        </w:tc>
      </w:tr>
      <w:tr>
        <w:trPr>
          <w:tblHeader w:val="0"/>
          <w:cantSplit w:val="0"/>
          <w:trHeight w:val="339" w:hRule="atLeast"/>
        </w:trPr>
        <w:tc>
          <w:tcPr>
            <w:tcW w:w="15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ind w:right="33"/>
              <w:spacing/>
              <w:jc w:val="right"/>
              <w:rPr>
                <w:szCs w:val="28"/>
              </w:rPr>
            </w:pPr>
            <w:r>
              <w:rPr>
                <w:szCs w:val="28"/>
              </w:rPr>
              <w:t>от «</w:t>
            </w:r>
          </w:p>
        </w:tc>
        <w:tc>
          <w:tcPr>
            <w:tcW w:w="62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39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both"/>
              <w:rPr>
                <w:szCs w:val="28"/>
              </w:rPr>
            </w:pPr>
            <w:r>
              <w:rPr>
                <w:szCs w:val="28"/>
              </w:rPr>
              <w:t>»</w:t>
            </w:r>
          </w:p>
        </w:tc>
        <w:tc>
          <w:tcPr>
            <w:tcW w:w="175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/>
            <w:bookmarkStart w:id="1" w:name="r09m"/>
            <w:r/>
            <w:bookmarkStart w:id="1" w:name="r09m"/>
            <w:r/>
            <w:bookmarkEnd w:id="1"/>
            <w:r/>
            <w:r>
              <w:rPr>
                <w:szCs w:val="28"/>
              </w:rPr>
              <w:t>сентября</w:t>
            </w:r>
          </w:p>
        </w:tc>
        <w:tc>
          <w:tcPr>
            <w:tcW w:w="529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ind w:right="-75"/>
              <w:spacing/>
              <w:jc w:val="right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0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ind w:right="-151"/>
              <w:rPr>
                <w:szCs w:val="28"/>
              </w:rPr>
            </w:pPr>
            <w:r/>
            <w:bookmarkStart w:id="2" w:name="r09y"/>
            <w:r/>
            <w:r>
              <w:rPr>
                <w:szCs w:val="28"/>
              </w:rPr>
              <w:t xml:space="preserve">25  </w:t>
            </w:r>
            <w:r/>
            <w:bookmarkEnd w:id="2"/>
            <w:r/>
            <w:r>
              <w:rPr>
                <w:szCs w:val="28"/>
              </w:rPr>
            </w:r>
          </w:p>
        </w:tc>
        <w:tc>
          <w:tcPr>
            <w:tcW w:w="585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г.</w:t>
            </w:r>
          </w:p>
        </w:tc>
        <w:tc>
          <w:tcPr>
            <w:tcW w:w="58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196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/>
            <w:bookmarkStart w:id="3" w:name="r10"/>
            <w:r/>
            <w:bookmarkStart w:id="3" w:name="r10"/>
            <w:r/>
            <w:bookmarkEnd w:id="3"/>
            <w:r/>
            <w:r>
              <w:rPr>
                <w:szCs w:val="28"/>
              </w:rPr>
              <w:t>953</w:t>
            </w:r>
          </w:p>
        </w:tc>
        <w:tc>
          <w:tcPr>
            <w:tcW w:w="171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</w:r>
          </w:p>
        </w:tc>
      </w:tr>
    </w:tbl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rPr>
          <w:szCs w:val="28"/>
        </w:rPr>
      </w:pPr>
      <w:r>
        <w:rPr>
          <w:b/>
          <w:bCs/>
          <w:szCs w:val="28"/>
        </w:rPr>
        <w:t>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</w:t>
      </w:r>
      <w:r>
        <w:rPr>
          <w:szCs w:val="28"/>
        </w:rPr>
      </w:r>
    </w:p>
    <w:p>
      <w:pPr>
        <w:ind w:firstLine="709"/>
        <w:rPr>
          <w:szCs w:val="28"/>
        </w:rPr>
      </w:pPr>
      <w:r>
        <w:rPr>
          <w:szCs w:val="28"/>
        </w:rPr>
      </w:r>
    </w:p>
    <w:p>
      <w:pPr>
        <w:ind w:firstLine="709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В соответствии со статьей 174.3 Бюджетного кодекса Российской Федерации, постановлением Правительства РФ от 22.06.2019 № 796  «Об общих требованиях к оценке налоговых расходов субъектов Российской Федерации и муниципальных образований»,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1. Утвердить Положение о формировании перечня налоговых расходов и оценке налоговых расходов муниципального образования «Анжеро-Судженский городской округ».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2. Кураторам налоговых расходов обеспечить формирование и направление в финансовое управление администрации Анжеро-Судженского городского округа паспортов налоговых расходов, а также разработку, согласование с финансовым управлением администрации Анжеро-Судженского городского округа и утверждение методик оценки эффективности налоговых расходов в срок до 01.11.2025 г.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3. Признать утратившими силу следующие постановления администрации Анжеро-Судженского городского округа от: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округ»;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14.05.2020 № 387 «О внесении изменений в постановление администрации Анжеро-Судженского городского округа от 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округ»;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26.05.2020 № 421 «О внесении изменений в постановление администрации Анжеро-Судженского городского округа от 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округ»;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26.07.2021 № 759 «О внесении изменений в постановление администрации Анжеро-Судженского городского округа от 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округ»;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09.12.2021 № 1363 «О внесении изменений в постановление администрации Анжеро-Судженского городского округа от 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округ»;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19.10.2022 № 1350 «О внесении изменений в постановление администрации Анжеро-Судженского городского округа от 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округ»;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 xml:space="preserve">24.04.2025 № 480 «О внесении изменений в постановление администрации Анжеро-Судженского городского округа от 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округ». 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 xml:space="preserve">4. Разместить настоящее постановление в информационно-телекоммуникационной сети «Интернет» на официальном сайте Анжеро-Судженского городского округа, электронный адрес: </w:t>
      </w:r>
      <w:hyperlink r:id="rId9" w:history="1">
        <w:r>
          <w:rPr>
            <w:rStyle w:val="char8"/>
            <w:szCs w:val="28"/>
          </w:rPr>
          <w:t>www.anzhero.ru</w:t>
        </w:r>
      </w:hyperlink>
      <w:r>
        <w:rPr>
          <w:szCs w:val="28"/>
        </w:rPr>
        <w:t>.</w:t>
      </w:r>
      <w:r>
        <w:rPr>
          <w:szCs w:val="28"/>
        </w:rPr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5. Постановление вступает в силу  со дня его подписания.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6.  Контроль за исполнением настоящего постановления возложить на начальника финансового управления администрации Анжеро-Судженского городского округа Зачиняеву Е.Н.</w:t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3" behindDoc="1" locked="0" layoutInCell="0" hidden="0" allowOverlap="1">
            <wp:simplePos x="0" y="0"/>
            <wp:positionH relativeFrom="page">
              <wp:posOffset>3736340</wp:posOffset>
            </wp:positionH>
            <wp:positionV relativeFrom="page">
              <wp:posOffset>7836535</wp:posOffset>
            </wp:positionV>
            <wp:extent cx="1390650" cy="1390650"/>
            <wp:effectExtent l="0" t="0" r="0" b="0"/>
            <wp:wrapNone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/>
                      <a:extLst>
                        <a:ext uri="sm">
                          <sm:smNativeData xmlns:sm="sm" val="SMDATA_16_u0LWa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UAAAAAAAAAAAAAAAAAAAAAQAAAAAAAAD8FgAAAQAAAAAAAAA1MAAAjggAAI4IAAABAAAA/BYAADUwAAAoAAAACAAAAAEAAAABAAAA"/>
                        </a:ext>
                      </a:extLst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both"/>
        <w:rPr>
          <w:szCs w:val="28"/>
        </w:rPr>
      </w:pPr>
      <w:r>
        <w:rPr>
          <w:szCs w:val="28"/>
        </w:rPr>
        <w:t>Глава городского округа</w:t>
        <w:tab/>
        <w:tab/>
        <w:t xml:space="preserve">                                    Д.В. Ажичаков</w:t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  <w:t>Утверждено</w:t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  <w:t>Анжеро-Судженского городского округа</w:t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  <w:t>от 26 сентября 2025г.  №  953</w:t>
      </w:r>
    </w:p>
    <w:p>
      <w:pPr>
        <w:ind w:firstLine="709"/>
        <w:spacing/>
        <w:jc w:val="right"/>
        <w:rPr>
          <w:szCs w:val="28"/>
        </w:rPr>
      </w:pPr>
      <w:r>
        <w:rPr>
          <w:szCs w:val="28"/>
        </w:rPr>
      </w:r>
    </w:p>
    <w:p>
      <w:pPr>
        <w:ind w:firstLine="709"/>
        <w:rPr>
          <w:b/>
          <w:szCs w:val="28"/>
        </w:rPr>
      </w:pPr>
      <w:r>
        <w:rPr>
          <w:b/>
          <w:szCs w:val="28"/>
        </w:rPr>
      </w:r>
    </w:p>
    <w:p>
      <w:pPr>
        <w:ind w:firstLine="708"/>
        <w:rPr>
          <w:b/>
        </w:rPr>
      </w:pPr>
      <w:r>
        <w:rPr>
          <w:b/>
          <w:szCs w:val="28"/>
        </w:rPr>
        <w:t xml:space="preserve">Положение о формировании перечня налоговых расходов </w:t>
        <w:br w:type="textWrapping"/>
        <w:t xml:space="preserve">и оценке налоговых расходов </w:t>
      </w:r>
      <w:r>
        <w:rPr>
          <w:b/>
        </w:rPr>
        <w:t xml:space="preserve">муниципального образования </w:t>
      </w:r>
    </w:p>
    <w:p>
      <w:pPr>
        <w:ind w:firstLine="708"/>
        <w:rPr>
          <w:b/>
        </w:rPr>
      </w:pPr>
      <w:r>
        <w:rPr>
          <w:b/>
        </w:rPr>
        <w:t>«Анжеро-Судженский городской округ»</w:t>
      </w:r>
    </w:p>
    <w:p>
      <w:pPr>
        <w:rPr>
          <w:b/>
          <w:szCs w:val="28"/>
        </w:rPr>
      </w:pPr>
      <w:r>
        <w:rPr>
          <w:b/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bCs/>
          <w:szCs w:val="28"/>
        </w:rPr>
        <w:t xml:space="preserve">1. </w:t>
      </w:r>
      <w:r>
        <w:rPr>
          <w:szCs w:val="28"/>
        </w:rPr>
        <w:t>Общие положения</w:t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1.1. Настоящее Положение разработано 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постановлением Правительства Кемеровской области – Кузбасса от 30.12.2019 № 773 «Об утверждении Положения о формировании перечня налоговых расходов Кемеровской области – Кузбасса и оценке налоговых расходов Кемеровской области – Кузбасса» и определяет порядок формирования перечня налоговых расходов и порядок оценки налоговых расходов муниципального образования «Анжеро-Судженский городской округ» (далее – городской округ).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1.2. В настоящем Положении используются понятия, установленные общими требованиями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(далее – Общие требования), а также следующие понятия: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 xml:space="preserve">налоговые расходы - выпадающие доходы бюджета городского округа, обусловленные налоговыми льготами, освобождениями и иными преференциями по налогам, предусмотренными в качестве мер поддержки в соответствии с целями  муниципальных программ городского округа и (или) целями социально-экономической политики городского округа, не относящимся к муниципальным программам городского округа. 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паспорт налогового расхода - документ, содержащий сведения о нормативных, целевых и фискальных характеристиках налогового расхода городского округа,  составляемый куратором налогового расхода.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1.3. В целях оценки налоговых расходов финансовое управление администрации Анжеро-Судженского городского округа (далее — финансовое управление):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формирует перечень налоговых расходов по форме согласно приложению N 1 к настоящему Положению;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осуществляет согласование методик оценки эффективности налоговых расходов, разрабатываемых кураторами налоговых расходов;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определяет правила формирования информации о нормативных, целевых и фискальных характеристиках налоговых расходов, подлежащей включению в паспорта налоговых расходов;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обеспечивает сбор и формирование информации о нормативных, целевых и фискальных характеристиках налоговых расходов, необходимой для проведения их оценки;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определяет порядок рассмотрения предложений о сохранении (уточнении, отмене) льгот для плательщиков, формируемых в соответствии с абзацем шестым подпункта 3.3.1 и подпунктом 3.3.2.3 настоящего Положения;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осуществляет анализ и обобщение результатов оценки эффективности налоговых расходов, проводимой кураторами налоговых расходов.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1.4. В целях оценки налоговых расходов кураторы налоговых расходов: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формируют паспорта налоговых расходов, содержащие информацию, предусмотренную приложением N 2 к настоящему Положению;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разрабатывают и утверждают в форме правовых актов методики оценки эффективности налоговых расходов;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осуществляют оценку эффективности налоговых расходов и направляют отчет о результатах оценки эффективности налогового расхода по форме согласно приложению N 4 к настоящему Положению в финансовое управление.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1.5. В целях оценки налоговых расходов соисполнитель куратора налоговых расходов: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представляет куратору налоговых расходов информацию для оценки налоговых расходов (данные статистической отчетности, иные сведения, необходимые для проведения оценки налоговых расходов);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представляет куратору налоговых расходов предложения для включения в проекты методик оценки эффективности налоговых расходов в пределах полномочий, в соответствии с которыми кураторы являются ответственными за достижение соответствующих налоговому расходу целей муниципальной программы городского округа и (или) целей социально-экономической политики городского округа, не относящихся к муниципальным программам городского округа;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осуществляет оценку эффективности налоговых расходов в пределах полномочий, определенных методикой оценки эффективности налоговых расходов, в соответствии с которыми он является ответственным за достижение соответствующих налоговому расходу целей муниципальной программы городского округа  и (или) целей социально-экономической политики городского округа, не относящихся к муниципальной программы городского округа, и направляет результаты оценки эффективности налоговых расходов куратору налоговых расходов, осуществляющему сводную оценку эффективности налоговых расходов, ежегодно не позднее 20 марта.</w:t>
      </w:r>
    </w:p>
    <w:p>
      <w:pPr>
        <w:pStyle w:val="para20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  <w:t>2. Порядок формирования перечня налоговых расходов</w:t>
      </w:r>
    </w:p>
    <w:p>
      <w:pPr>
        <w:pStyle w:val="para20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2.1. Кураторы налоговых расходов формируют паспорта новых налоговых расходов и направляют в финансовое управление в срок не позднее 14 дней со дня официального опубликования решения Совета народных депутатов Анжеро-Судженского городского округа, предусматривающего установление на территории городского округа  налоговых льгот, освобождений и иных преференций по налогам (далее - льгота).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2.2. Проект перечня налоговых расходов на текущий финансовый год и плановый период формируется финансовым управлением на основании паспортов налоговых расходов до 1 марта и направляется на согласование кураторам налоговых расходов.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2.3. Кураторы налоговых расходов до 10 марта рассматривают проект перечня налоговых расходов на предмет предлагаемого распределения налоговых расходов в соответствии с целями муниципальной программы городского округа  и (или) целей социально-экономической политики городского округа, не относящихся к муниципальной программы городского округа.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Замечания и предложения по уточнению проекта перечня налоговых расходов направляются в финансовое управление в течение срока, указанного в абзаце первом настоящего пункта.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случае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расхода и направлению в финансовое управление в течение срока, указанного в абзаце первом настоящего пункта.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случае если замечания и предложения не направлены в финансовое управление 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2.4. Перечень налоговых расходов утверждается постановлением администрации городского округа.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2.5. Постановление администрации городского округа об утверждении перечня налоговых расходов на текущий финансовый год и плановый период размещается на официальном сайте Анжеро-Судженского городского округа в информационно-телекоммуникационной сети «Интернет» не позднее 20 марта.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2.6. В случае внесения изменений в перечень муниципальных программ городского округа и (или) изменения полномочий администрации городского округа, в связи с которыми возникает необходимость внесения изменений в перечень налоговых расходов, кураторы налоговых расходов не позднее 14 дней со дня внесения указанных изменений направляют в финансовое управление скорректированный паспорт налогового расхода для уточнения перечня налоговых расходов.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Финансовое управление вносит изменения и дополнения в перечень налоговых расходов по мере необходимости.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Согласование проекта о внесении изменений и (или) дополнений в перечень налоговых расходов в части позиций, изложенных идентично позициям утвержденного перечня налоговых расходов, с кураторами налоговых расходов не требуется.</w:t>
      </w:r>
    </w:p>
    <w:p>
      <w:pPr>
        <w:pStyle w:val="para20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  <w:t>3. Порядок и сроки проведения оценки налоговых расходов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3.1. В целях проведения оценки налоговых расходов городского округа финансовое управление: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а) ежегодно в срок до 1 февраля направляет в Межрайонную ИФНС России № 9 по Кемеровской области - Кузбассу сведения о категориях плательщиков с указанием обусловливающих соответствующие налоговые расходы нормативных правовых актов городского округа, в том числе действовавших в отчетном году и в году, предшествующем отчетному году, и иной информации, предусмотренной Общими требованиями;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б) ежегодно до 1 марта направляет кураторам налоговых расходов информацию, полученную от Межрайонной ИФНС России № 9 по Кемеровской области - Кузбассу, включающую в себя: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сведения о количестве плательщиков, воспользовавшихся льготами, за отчетный год и за 5 лет, предшествующих отчетному;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сведения о суммах выпадающих доходов бюджета городского округа по каждому налоговому расходу городского округа за отчетный год.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случае изменения целевых характеристик налоговых расходов городского округа, а также целей, структуры муниципальных программ городского округа, целей социально-экономической политики, не относящихся к муниципальным программам городского округа, для оценки налоговых расходов используются целевые характеристики, цели муниципальных программ городского округа, цели социально-экономической политики, не относящиеся к муниципальным программам городского округа, действующие в году, за который проводится оценка эффективности налоговых расходов.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3.2. Оценка эффективности налоговых расходов осуществляется кураторами налоговых расходов в порядке и сроки, установленные настоящим Положением, на основании методик оценки эффективности налоговых расходов (далее - методика).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Кураторы налоговых расходов разрабатывают методики в соответствии с примерной структурой согласно приложению N 3 к настоящему Положению и утверждают в форме правовых актов после согласования с финансовым управлением в сроки, установленные настоящим Положением.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Методики, по которым проводится сводная оценка эффективности налоговых расходов, утверждаются кураторами налоговых расходов по согласованию с соисполнителями кураторов налоговых расходов.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Проекты методик оценки эффективности налоговых расходов (далее - проекты методик) разрабатываются кураторами налоговых расходов и направляются на согласование в финансовое управление до 1 марта.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Финансовое управление согласовывает проекты методик в течение 30 календарных дней с даты их поступления или возвращает их кураторам налоговых расходов с обоснованными замечаниями на доработку.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Кураторы налоговых расходов в течение 5 рабочих дней с даты поступления замечаний дорабатывают проекты методик и направляют доработанные проекты методик на согласование в финансовое управление.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При наличии разногласий по проектам методик куратор налогового расхода обеспечивает проведение согласительных совещаний с  финансовым управлением в течение 5 рабочих дней со дня получения замечаний финансового управления.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случае необходимости внесения изменений в утвержденную методику кураторы налоговых расходов разрабатывают проект изменений в методику и направляют на согласование в финансовое управление.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Финансовое управление согласовывает проекты изменений в утвержденную методику в порядке и сроки, предусмотренные абзацами четвертым - шестым настоящего пункта.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 Оценка эффективности налоговых расходов осуществляется куратором налоговых расходов отдельно по каждому налоговому расходу и включает: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оценку целесообразности налогового расхода;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оценку результативности налогового расхода.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3.3.1. Критериями целесообразности налоговых расходов являются: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а) соответствие налоговых расходов целям муниципальным программ городского округа и (или) целям социально-экономической политики городского округа, не относящимся к муниципальным программ городского округа;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б)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методиках определяется минимальное значение соотношения, указанного в подпункте "б" настоящего подпункта, при котором льгота признается востребованной.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плательщикам.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случае несоответствия налоговых расходов хотя бы одному из критериев, указанных в настоящем подпункте, куратору налогового расхода надлежит представить в финансовое управление предложения о сохранении (уточнении, отмене) льгот, обуславливающих такие налоговые расходы.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Допускается не проводить оценку востребованности плательщиками предоставленных льгот в отношении: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льгот, обусловливающих налоговые расходы, по которым на момент проведения оценки эффективности отсутствуют фискальные характеристики;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 xml:space="preserve">налоговых расходов, обусловленных льготами, срок действия которых составляет менее 1 года. 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3.3.2. Оценка результативности налоговых расходов включает: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а) оценку вклада льгот в изменение значения показателя (индикатора) достижения целей муниципальной программы городского округа и (или) целей социально-экономической политики, не относящихся к муниципальным программам городского округа;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б) оценку бюджетной эффективности налоговых расходов.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Допускается не проводить оценку результативности налоговых расходов в отношении: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технических налоговых расходов;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налоговых расходов, по которым на момент проведения оценки эффективности отсутствуют фискальные характеристики;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налоговых расходов, обусловленных льготами, срок действия которых составляет менее 1 года.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3.3.2.1. В методиках определяется целевой показатель (индикатор), количественно характеризующий достижение целей муниципальной программы и (или) целей социально-экономической политики, либо иной показатель (индикатор), на значение которого оказывают влияние налоговые расходы (далее - индикатор).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Оценке подлежит вклад предусмотренных для плательщиков льгот в изменение значения индикатора (S), который рассчитывается по следующей формуле: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S = Dфакт - Dконтр,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где: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Dфакт - значение индикатора с учетом льгот (фактическое);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Dконтр - значение индикатора без учета льгот (контрфактическое).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Значение Dконтр может оцениваться одним из следующих способов: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а) на основе сложившейся до введения льготы динамики показателя;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б) на основе значения (динамики) аналогичного показателя на территориях, на которых не действуют аналогичные оцениваемым льготы, либо их объем существенно меньше, чем на территории, для которой оценивается показатель;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в) иным способом по выбору куратора налогового расхода городского округа.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составе результатов оценки налоговых расходов куратор налоговых расходов представляет описание способа оценки Dконтр.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При S = 0 делается вывод об отсутствии вклада оцениваемых льгот в достижение цели муниципальной программе городского округа и (или) цели социально-экономической политики, по отношению к которой проведена оценка результативности данного налогового расхода.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 xml:space="preserve">При S </w:t>
      </w:r>
      <w:r>
        <w:rPr>
          <w:rStyle w:val="char20"/>
          <w:color w:val="333333"/>
          <w:szCs w:val="28"/>
        </w:rPr>
        <w:t>≠</w:t>
      </w:r>
      <w:r>
        <w:rPr>
          <w:szCs w:val="28"/>
        </w:rPr>
        <w:t xml:space="preserve"> 0 вывод о вкладе оцениваемых льгот в достижение цели муниципальной программе городского округа и (или) цели социально-экономической политики делается в зависимости от сущности индикатора, для которого проводится оценка.</w:t>
      </w: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 случае если благоприятному развитию ситуации соответствует увеличение индикатора, вывод об отсутствии вклада оцениваемых льгот в достижение цели муниципальной программе городского округа и (или) цели социально-экономической политики делается при S &lt; 0. В случае если благоприятному развитию ситуации соответствует уменьшение индикатора, вывод об отсутствии вклада делается при S &gt; 0.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С целью обеспечения сопоставимости показателей оценки вклада льгот в изменение значения показателя (индикатора) достижения целей муниципальной программе городского округа и (или) целей социально-экономической политики рассчитывается нормированный показатель оценки (Sнорм):</w:t>
      </w:r>
    </w:p>
    <w:p>
      <w:pPr>
        <w:rPr>
          <w:szCs w:val="28"/>
        </w:rPr>
      </w:pPr>
      <w:r>
        <w:rPr>
          <w:szCs w:val="28"/>
        </w:rPr>
      </w:r>
    </w:p>
    <w:p>
      <w:r/>
    </w:p>
    <w:p>
      <w:pPr>
        <w:rPr>
          <w:rFonts w:ascii="0" w:hAnsi="0"/>
        </w:rPr>
      </w:pPr>
      <w:r/>
      <w:r>
        <w:rPr>
          <w:noProof/>
        </w:rPr>
        <w:drawing>
          <wp:inline distT="0" distB="0" distL="0" distR="0">
            <wp:extent cx="1638300" cy="495300"/>
            <wp:effectExtent l="0" t="0" r="0" b="0"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/>
                    <pic:cNvPicPr>
                      <a:picLocks noChangeAspect="1"/>
                      <a:extLst>
                        <a:ext uri="sm">
                          <sm:smNativeData xmlns:sm="sm" val="SMDATA_16_u0LWaB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CEAAAAB6AAAAAAAAAAAAAAAAAAAAAAAAAAAAAAAAAAAAAAAAAAAAAAFAoAAAwDAAAAAAAAAAAAAAAAAAAoAAAACAAAAAEAAAABAAAA"/>
                        </a:ext>
                      </a:extLst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/>
      <w:r>
        <w:rPr>
          <w:rFonts w:ascii="0" w:hAnsi="0"/>
        </w:rPr>
      </w:r>
    </w:p>
    <w:p>
      <w:pPr>
        <w:rPr>
          <w:rFonts w:ascii="0" w:hAnsi="0"/>
        </w:rPr>
      </w:pPr>
      <w:r>
        <w:rPr>
          <w:rFonts w:ascii="0" w:hAnsi="0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3.3.2.2. В целях проведения оценки бюджетной эффективности налоговых расходов кураторы осуществляют сравнительный анализ результативности предоставления льгот и применения альтернативных механизмов достижения целей.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Сравнительный анализ результативности представляет собой обоснованное мнение куратора налоговых расходов о результативности предоставления льгот для достижения целевых значений индикаторов и результативности альтернативных методов муниципальной поддержки, а именно: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а) субсидий или иных форм непосредственной финансовой поддержки плательщиков, имеющих право на льготы, за счет средств бюджета городского округа;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б) предоставления муниципальных гарантий городского округа по обязательствам плательщиков, имеющих право на льготы;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в) совершенствования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3.3.2.3. В случае недостижения положительных значений оценки вклада предусмотренных для плательщиков льгот в изменение значения показателя (индикатора) достижения целей муниципальной программы городского округа и (или) целей социально-экономической политики городского округа, не относящихся к муниципальным программам городского округа, и (или) достижения более высоких показателей результативности применения альтернативных механизмов достижения целей муниципальной программы городского округа и (или) целей социально-экономической политики городского округа, не относящихся к муниципальным программам городского округа, по результатам оценки бюджетной эффективности налоговых расходов, куратору налогового расхода надлежит представить в финансовое управление предложения о сохранении (уточнении, отмене) льгот, обуславливающих такие налоговые расходы.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3.3.3. При необходимости куратором налогового расхода могут быть установлены дополнительные критерии оценки бюджетной эффективности налогового расхода.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3.3.4. По результатам оценки налоговых расходов куратором налоговых расходов делается вывод об эффективности (неэффективности) налоговых расходов, а также формулируются предложения по сохранению (отмене, изменению) налоговых расходов.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3.3.5. Отчет о результатах оценки эффективности налогового расхода оформляется по форме согласно приложению N 4 к настоящему Положению и направляется в финансовое управление в электронном виде в формате электронной таблицы до 1 апреля.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spacing/>
        <w:jc w:val="center"/>
        <w:outlineLvl w:val="1"/>
        <w:rPr>
          <w:szCs w:val="28"/>
        </w:rPr>
      </w:pPr>
      <w:r>
        <w:rPr>
          <w:szCs w:val="28"/>
        </w:rPr>
        <w:t>4. Порядок и сроки обобщения результатов оценки</w:t>
      </w:r>
    </w:p>
    <w:p>
      <w:pPr>
        <w:pStyle w:val="para20"/>
        <w:ind w:firstLine="709"/>
        <w:spacing/>
        <w:jc w:val="center"/>
        <w:outlineLvl w:val="1"/>
        <w:rPr>
          <w:szCs w:val="28"/>
        </w:rPr>
      </w:pPr>
      <w:r>
        <w:rPr>
          <w:szCs w:val="28"/>
        </w:rPr>
        <w:t>эффективности налоговых расходов</w:t>
      </w:r>
    </w:p>
    <w:p>
      <w:pPr>
        <w:pStyle w:val="para20"/>
        <w:ind w:firstLine="709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4.1. Финансовое управление ежегодно до 1  мая обобщает результаты оценки налоговых расходов в виде сводного отчета об оценке налоговых расходов городского округа, в том числе предложения о сохранении (уточнении, отмене) льгот для плательщиков налогов, представленные кураторами налоговых расходов в соответствии с абзацем шестым подпункта 3.3.1 и подпунктом 3.3.2.3 настоящего Положения, и представляет их для рассмотрения в бюджетную комиссию Кузбасса.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4.2. Сводный отчет об оценке налоговых расходов включает в себя: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обобщенные результаты оценки налоговых расходов за отчетный год;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сведения о суммах выпадающих доходов бюджета городского округа по каждому налоговому расходу за отчетный год;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оценку и прогноз объема предоставленных льгот на текущий финансовый год, очередной финансовый год и плановый период.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Сводный отчет об оценке налоговых расходов может включать в себя иные сведения.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4.3. В течение 10 рабочих дней после подписания протокола заседания штаба по финансовому мониторингу, обеспечению  устойчивого развития экономики и социальной стабильности городского округа сводный отчет о результатах оценки налоговых расходов городского округа размещается на официальном сайте финансового управления в информационно-телекоммуникационной сети "Интернет".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  <w:t>4.4. Результаты рассмотрения оценки налоговых расходов городского округа учитываются при формировании основных направлений бюджетной и налоговой политики городского округа, а также при проведении оценки эффективности реализации муниципальных программ городского округа.</w:t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>
        <w:t xml:space="preserve">Приложение 2 </w:t>
      </w:r>
    </w:p>
    <w:p>
      <w:pPr>
        <w:spacing/>
        <w:jc w:val="right"/>
      </w:pPr>
      <w:r>
        <w:t xml:space="preserve">к Положению о формировании перечня налоговых расходов и оценке налоговых расходов муниципального образования </w:t>
      </w:r>
    </w:p>
    <w:p>
      <w:pPr>
        <w:spacing/>
        <w:jc w:val="right"/>
      </w:pPr>
      <w:r>
        <w:t>«Анжеро-Судженский городской округ»</w:t>
      </w:r>
    </w:p>
    <w:p>
      <w:pPr>
        <w:spacing/>
        <w:jc w:val="right"/>
      </w:pPr>
      <w:r/>
    </w:p>
    <w:p>
      <w:pPr>
        <w:spacing/>
        <w:jc w:val="right"/>
      </w:pPr>
      <w:r/>
    </w:p>
    <w:p>
      <w:pPr>
        <w:pStyle w:val="para124"/>
        <w:spacing/>
        <w:jc w:val="center"/>
        <w:rPr>
          <w:shd w:val="clear" w:fill="c0c0c0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Паспорт налогового расхода муниципального образования </w:t>
      </w:r>
      <w:r>
        <w:rPr>
          <w:shd w:val="clear" w:fill="c0c0c0"/>
        </w:rPr>
      </w:r>
    </w:p>
    <w:p>
      <w:pPr>
        <w:pStyle w:val="para124"/>
        <w:spacing/>
        <w:jc w:val="center"/>
        <w:rPr>
          <w:shd w:val="clear" w:fill="c0c0c0"/>
        </w:rPr>
      </w:pPr>
      <w:r>
        <w:rPr>
          <w:rFonts w:ascii="PT Astra Serif" w:hAnsi="PT Astra Serif"/>
          <w:color w:val="000000"/>
          <w:sz w:val="28"/>
          <w:szCs w:val="28"/>
        </w:rPr>
        <w:t>«Анжеро-Судженский городской округ»</w:t>
      </w:r>
      <w:r>
        <w:rPr>
          <w:shd w:val="clear" w:fill="c0c0c0"/>
        </w:rPr>
      </w:r>
    </w:p>
    <w:p>
      <w:pPr>
        <w:pStyle w:val="para124"/>
        <w: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para125"/>
        <w:spacing/>
        <w:jc w:val="both"/>
        <w:rPr>
          <w:shd w:val="clear" w:fill="c0c0c0"/>
        </w:rPr>
      </w:pPr>
      <w:r>
        <w:rPr>
          <w:rFonts w:ascii="PT Astra Serif" w:hAnsi="PT Astra Serif"/>
          <w:color w:val="000000"/>
          <w:sz w:val="28"/>
          <w:szCs w:val="28"/>
        </w:rPr>
        <w:t>Наименование налогового расхода: ____________________________________</w:t>
      </w:r>
      <w:r>
        <w:rPr>
          <w:shd w:val="clear" w:fill="c0c0c0"/>
        </w:rPr>
      </w:r>
    </w:p>
    <w:p>
      <w:pPr>
        <w:pStyle w:val="para125"/>
        <w:spacing/>
        <w:jc w:val="both"/>
        <w:rPr>
          <w:shd w:val="clear" w:fill="c0c0c0"/>
        </w:rPr>
      </w:pPr>
      <w:r>
        <w:rPr>
          <w:rFonts w:ascii="PT Astra Serif" w:hAnsi="PT Astra Serif"/>
          <w:color w:val="000000"/>
          <w:sz w:val="28"/>
          <w:szCs w:val="28"/>
        </w:rPr>
        <w:t>Куратор налогового расхода: _________________________________________</w:t>
      </w:r>
      <w:r>
        <w:rPr>
          <w:shd w:val="clear" w:fill="c0c0c0"/>
        </w:rPr>
      </w:r>
    </w:p>
    <w:p>
      <w:pPr>
        <w:pStyle w:val="para124"/>
        <w: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tbl>
      <w:tblPr>
        <w:name w:val="Таблица2"/>
        <w:tabOrder w:val="0"/>
        <w:jc w:val="left"/>
        <w:tblInd w:w="0" w:type="dxa"/>
        <w:tblW w:w="9356" w:type="dxa"/>
        <w:pPr>
          <w:spacing/>
          <w:jc w:val="left"/>
        </w:pPr>
      </w:tblPr>
      <w:tblGrid>
        <w:gridCol w:w="618"/>
        <w:gridCol w:w="5062"/>
        <w:gridCol w:w="3676"/>
      </w:tblGrid>
      <w:tr>
        <w:trPr>
          <w:tblHeader w:val="0"/>
          <w:cantSplit w:val="0"/>
          <w:trHeight w:val="0" w:hRule="auto"/>
        </w:trPr>
        <w:tc>
          <w:tcPr>
            <w:tcW w:w="618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N п/п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5062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rFonts w:ascii="Noto Sans Devanagari" w:hAnsi="Noto Sans Devanagari"/>
                <w:b/>
                <w:color w:val="000000"/>
                <w:sz w:val="21"/>
              </w:rPr>
            </w:pPr>
            <w:r>
              <w:rPr>
                <w:color w:val="000000"/>
                <w:szCs w:val="28"/>
              </w:rPr>
              <w:t>Наименование показателя</w:t>
            </w:r>
            <w:r>
              <w:rPr>
                <w:rFonts w:ascii="Noto Sans Devanagari" w:hAnsi="Noto Sans Devanagari"/>
                <w:b/>
                <w:color w:val="000000"/>
                <w:sz w:val="21"/>
              </w:rPr>
            </w:r>
          </w:p>
          <w:p>
            <w:pPr>
              <w:ind w:right="-1191"/>
              <w:rPr>
                <w:shd w:val="clear" w:fill="c0c0c0"/>
              </w:rPr>
            </w:pPr>
            <w:r>
              <w:rPr>
                <w:shd w:val="clear" w:fill="c0c0c0"/>
              </w:rPr>
            </w:r>
          </w:p>
        </w:tc>
        <w:tc>
          <w:tcPr>
            <w:tcW w:w="3676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right="-1191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Предоставляемая </w:t>
            </w:r>
            <w:r>
              <w:rPr>
                <w:shd w:val="clear" w:fill="c0c0c0"/>
              </w:rPr>
            </w:r>
          </w:p>
          <w:p>
            <w:pPr>
              <w:pStyle w:val="para124"/>
              <w:ind w:right="-1191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информация</w:t>
            </w:r>
            <w:r>
              <w:rPr>
                <w:shd w:val="clear" w:fill="c0c0c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Наименование налога, по которому предусматривается льгота</w:t>
            </w:r>
            <w:r>
              <w:rPr>
                <w:shd w:val="clear" w:fill="c0c0c0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shd w:val="clear" w:fill="c0c0c0"/>
              </w:rPr>
            </w:pPr>
            <w:r>
              <w:rPr>
                <w:shd w:val="clear" w:fill="c0c0c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2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Нормативный правовой акт (далее - НПА)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3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Структурные единицы НПА, которыми предусматривается налоговая льгота</w:t>
            </w:r>
            <w:r>
              <w:rPr>
                <w:shd w:val="clear" w:fill="c0c0c0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shd w:val="clear" w:fill="c0c0c0"/>
              </w:rPr>
            </w:pPr>
            <w:r>
              <w:rPr>
                <w:shd w:val="clear" w:fill="c0c0c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4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Условия предоставления льготы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5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Категория плательщиков налогов, для </w:t>
            </w:r>
            <w:r>
              <w:rPr>
                <w:shd w:val="clear" w:fill="c0c0c0"/>
              </w:rPr>
            </w:r>
          </w:p>
          <w:p>
            <w:pPr>
              <w:pStyle w:val="para124"/>
              <w:ind w:left="57" w:right="-1191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которых предусмотрена льгота</w:t>
            </w:r>
            <w:r>
              <w:rPr>
                <w:shd w:val="clear" w:fill="c0c0c0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shd w:val="clear" w:fill="c0c0c0"/>
              </w:rPr>
            </w:pPr>
            <w:r>
              <w:rPr>
                <w:shd w:val="clear" w:fill="c0c0c0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6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Целевая категория плательщиков налогов, 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для которых предусмотрена льгота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7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Дата начала действия права на льготу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8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Дата прекращения действия льготы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Целевая категория налоговых расходов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10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Цели предоставления налоговой льготы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11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Наименование муниципальной  програм-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 и (или) направление социально-экономической политики  городского округа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12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Показатель (индикатор) достижения целей муниципальных программ и (или) целей 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социально-экономической политики 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городского округа, не относящихся к муниципальным программам 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Анжеро-Судженского городского округа, 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 связи с предоставлением льготы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18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spacing/>
              <w:jc w:val="center"/>
              <w:rPr>
                <w:shd w:val="clear" w:fill="c0c0c0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13</w:t>
            </w:r>
            <w:r>
              <w:rPr>
                <w:shd w:val="clear" w:fill="c0c0c0"/>
              </w:rPr>
            </w:r>
          </w:p>
        </w:tc>
        <w:tc>
          <w:tcPr>
            <w:tcW w:w="5062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Код вида экономической деятельности 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para124"/>
              <w:ind w:left="57" w:right="-1191"/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(по </w:t>
            </w:r>
            <w:hyperlink r:id="rId12" w:history="1">
              <w:r>
                <w:rPr>
                  <w:rFonts w:ascii="PT Astra Serif" w:hAnsi="PT Astra Serif"/>
                  <w:color w:val="000000"/>
                  <w:sz w:val="28"/>
                  <w:szCs w:val="28"/>
                </w:rPr>
                <w:t>ОКВЭД</w:t>
              </w:r>
            </w:hyperlink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), к которому относится </w:t>
            </w:r>
            <w:r/>
          </w:p>
          <w:p>
            <w:pPr>
              <w:pStyle w:val="para124"/>
              <w:ind w:left="57" w:right="-119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налоговый расход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W w:w="3676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pStyle w:val="para124"/>
            </w:pPr>
            <w:r/>
          </w:p>
        </w:tc>
      </w:tr>
    </w:tbl>
    <w:p>
      <w:pPr>
        <w:ind w:firstLine="709"/>
        <w:spacing/>
        <w:jc w:val="both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ind w:firstLine="709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spacing/>
        <w:jc w:val="right"/>
      </w:pPr>
      <w:r/>
    </w:p>
    <w:p>
      <w:pPr>
        <w:spacing/>
        <w:jc w:val="right"/>
      </w:pPr>
      <w:r>
        <w:t xml:space="preserve">Приложение 3 </w:t>
      </w:r>
    </w:p>
    <w:p>
      <w:pPr>
        <w:spacing/>
        <w:jc w:val="right"/>
      </w:pPr>
      <w:r>
        <w:t xml:space="preserve">к Положению о формировании перечня налоговых расходов и оценке налоговых расходов муниципального образования </w:t>
      </w:r>
    </w:p>
    <w:p>
      <w:pPr>
        <w:spacing/>
        <w:jc w:val="right"/>
        <w:rPr>
          <w:szCs w:val="28"/>
        </w:rPr>
      </w:pPr>
      <w:r>
        <w:rPr>
          <w:szCs w:val="28"/>
        </w:rPr>
        <w:t>«Анжеро-Судженский городской округ»</w:t>
      </w:r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/>
    </w:p>
    <w:p>
      <w:pPr>
        <w:rPr>
          <w:rFonts w:ascii="Arial" w:hAnsi="Arial"/>
          <w:b/>
          <w:sz w:val="20"/>
        </w:rPr>
      </w:pPr>
      <w:r>
        <w:rPr>
          <w:b/>
          <w:sz w:val="24"/>
        </w:rPr>
        <w:t>ПРИМЕРНАЯ СТРУКТУРА</w:t>
      </w:r>
      <w:r>
        <w:rPr>
          <w:rFonts w:ascii="Arial" w:hAnsi="Arial"/>
          <w:b/>
          <w:sz w:val="20"/>
        </w:rPr>
      </w:r>
    </w:p>
    <w:p>
      <w:pPr>
        <w:rPr>
          <w:rFonts w:ascii="Arial" w:hAnsi="Arial"/>
          <w:b/>
          <w:sz w:val="20"/>
        </w:rPr>
      </w:pPr>
      <w:r>
        <w:rPr>
          <w:b/>
          <w:sz w:val="24"/>
        </w:rPr>
        <w:t>МЕТОДИКИ ОЦЕНКИ ЭФФЕКТИВНОСТИ НАЛОГОВОГО РАСХОДА</w:t>
      </w:r>
      <w:r>
        <w:rPr>
          <w:rFonts w:ascii="Arial" w:hAnsi="Arial"/>
          <w:b/>
          <w:sz w:val="20"/>
        </w:rPr>
      </w:r>
    </w:p>
    <w:p>
      <w:pPr>
        <w:spacing/>
        <w:jc w:val="both"/>
        <w:outlineLvl w:val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tbl>
      <w:tblPr>
        <w:name w:val="Таблица3"/>
        <w:tabOrder w:val="0"/>
        <w:jc w:val="left"/>
        <w:tblInd w:w="0" w:type="dxa"/>
        <w:tblW w:w="9066" w:type="dxa"/>
        <w:pPr>
          <w:spacing/>
          <w:jc w:val="left"/>
        </w:pPr>
      </w:tblPr>
      <w:tblGrid>
        <w:gridCol w:w="959"/>
        <w:gridCol w:w="8107"/>
      </w:tblGrid>
      <w:tr>
        <w:trPr>
          <w:tblHeader w:val="0"/>
          <w:cantSplit w:val="0"/>
          <w:trHeight w:val="0" w:hRule="auto"/>
        </w:trPr>
        <w:tc>
          <w:tcPr>
            <w:tcW w:w="959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N п/п</w:t>
            </w:r>
          </w:p>
        </w:tc>
        <w:tc>
          <w:tcPr>
            <w:tcW w:w="8107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Обязательный элемент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107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066" w:type="dxa"/>
            <w:gridSpan w:val="2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Общая информация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налогового расхода в соответствии с перечнем налоговых расходов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Реквизиты нормативного правового акта, которым утверждена льгота, обусловливающая налоговый расход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Целевая категория налогового расхода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Источники информации для проведения оценки эффективности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066" w:type="dxa"/>
            <w:gridSpan w:val="2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Оценка соответствия налогового расхода целям муниципальных программ и (или) целям социально-экономической политики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муниципальной программы и (или) направления стратегического планирования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цели муниципальной программы и (или) цели социально-экономической политики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066" w:type="dxa"/>
            <w:gridSpan w:val="2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Оценка востребованности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Формула расчета уровня востребованности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Порядок определения численности потенциальных плательщиков, обладающих правом на применение льготы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Источник информации о численности потенциальных плательщиков, обладающих правом на применение льготы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Пороговое значение, при достижении которого льгота признается востребованной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066" w:type="dxa"/>
            <w:gridSpan w:val="2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Оценка вклада налоговой льготы в изменение значения показателя (индикатора) достижения целей муниципальной программы и (или) целей социально-экономической политики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показателя (индикатора)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Источник информации о значении показателя (индикатора)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Формула расчета уровня вклада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Порядок расчета (финансовая модель) значения показателя (индикатора) без учета льготы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066" w:type="dxa"/>
            <w:gridSpan w:val="2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Оценка бюджетной эффективности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Формула расчета бюджетной эффективности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альтернативных механизмов достижения целей муниципальной программы и (или) целей социально-экономической политики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Порядок расчета значения объема средств на применение альтернативного механизма (в случае идентичных значений показателя (индикатора) при применении налогового расхода и альтернативного механизма) или порядок расчета значения показателя (индикатора) (в случае идентичных значений объема налогового расхода и альтернативного механизма)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066" w:type="dxa"/>
            <w:gridSpan w:val="2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Заключительные положения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59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8107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Формат результатов оценки эффективности</w:t>
            </w:r>
          </w:p>
        </w:tc>
      </w:tr>
    </w:tbl>
    <w:p>
      <w:pPr>
        <w:spacing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spacing/>
        <w:jc w:val="right"/>
        <w:rPr>
          <w:sz w:val="24"/>
        </w:rPr>
      </w:pPr>
      <w:r>
        <w:rPr>
          <w:sz w:val="24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spacing/>
        <w:jc w:val="right"/>
      </w:pPr>
      <w:r/>
    </w:p>
    <w:p>
      <w:pPr>
        <w:spacing/>
        <w:jc w:val="right"/>
      </w:pPr>
      <w:r/>
    </w:p>
    <w:p>
      <w:pPr>
        <w:spacing/>
        <w:jc w:val="right"/>
      </w:pPr>
      <w:r>
        <w:t xml:space="preserve">Приложение 4 </w:t>
      </w:r>
    </w:p>
    <w:p>
      <w:pPr>
        <w:spacing/>
        <w:jc w:val="right"/>
      </w:pPr>
      <w:r>
        <w:t xml:space="preserve">к Положению о формировании перечня налоговых расходов и оценке налоговых расходов муниципального образования </w:t>
      </w:r>
    </w:p>
    <w:p>
      <w:pPr>
        <w:spacing/>
        <w:jc w:val="right"/>
        <w:rPr>
          <w:szCs w:val="28"/>
        </w:rPr>
      </w:pPr>
      <w:r>
        <w:rPr>
          <w:szCs w:val="28"/>
        </w:rPr>
        <w:t>«Анжеро-Судженский городской округ»</w:t>
      </w:r>
    </w:p>
    <w:p>
      <w:pPr>
        <w:pStyle w:val="para20"/>
        <w:spacing/>
        <w:jc w:val="center"/>
        <w:outlineLvl w:val="1"/>
        <w:rPr>
          <w:szCs w:val="28"/>
        </w:rPr>
      </w:pPr>
      <w:r>
        <w:rPr>
          <w:szCs w:val="28"/>
        </w:rPr>
      </w:r>
    </w:p>
    <w:p>
      <w:pPr>
        <w:rPr>
          <w:rFonts w:ascii="Arial" w:hAnsi="Arial"/>
          <w:sz w:val="20"/>
        </w:rPr>
      </w:pPr>
      <w:r>
        <w:rPr>
          <w:szCs w:val="28"/>
        </w:rPr>
        <w:t>Отчет о результатах</w:t>
      </w:r>
      <w:r>
        <w:rPr>
          <w:rFonts w:ascii="Arial" w:hAnsi="Arial"/>
          <w:sz w:val="20"/>
        </w:rPr>
      </w:r>
    </w:p>
    <w:p>
      <w:pPr>
        <w:rPr>
          <w:rFonts w:ascii="Arial" w:hAnsi="Arial"/>
          <w:sz w:val="20"/>
        </w:rPr>
      </w:pPr>
      <w:r>
        <w:rPr>
          <w:szCs w:val="28"/>
        </w:rPr>
        <w:t>оценки эффективности налогового расхода</w:t>
      </w:r>
      <w:r>
        <w:rPr>
          <w:rFonts w:ascii="Arial" w:hAnsi="Arial"/>
          <w:sz w:val="20"/>
        </w:rPr>
      </w:r>
    </w:p>
    <w:p>
      <w:pPr>
        <w:rPr>
          <w:rFonts w:ascii="Arial" w:hAnsi="Arial"/>
          <w:sz w:val="20"/>
        </w:rPr>
      </w:pPr>
      <w:r>
        <w:rPr>
          <w:szCs w:val="28"/>
        </w:rPr>
        <w:t>муниципального образования  «Анжеро-Судженский городской округ»</w:t>
      </w:r>
      <w:r>
        <w:rPr>
          <w:rFonts w:ascii="Arial" w:hAnsi="Arial"/>
          <w:sz w:val="20"/>
        </w:rPr>
      </w:r>
    </w:p>
    <w:p>
      <w:pPr>
        <w:rPr>
          <w:rFonts w:ascii="Arial" w:hAnsi="Arial"/>
          <w:sz w:val="20"/>
        </w:rPr>
      </w:pPr>
      <w:r>
        <w:rPr>
          <w:szCs w:val="28"/>
        </w:rPr>
        <w:t>за _______ год</w:t>
      </w:r>
      <w:r>
        <w:rPr>
          <w:rFonts w:ascii="Arial" w:hAnsi="Arial"/>
          <w:sz w:val="20"/>
        </w:rPr>
      </w:r>
    </w:p>
    <w:p>
      <w:pPr>
        <w:spacing/>
        <w:jc w:val="both"/>
        <w:outlineLvl w:val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tbl>
      <w:tblPr>
        <w:name w:val="Таблица4"/>
        <w:tabOrder w:val="0"/>
        <w:jc w:val="left"/>
        <w:tblInd w:w="0" w:type="dxa"/>
        <w:tblW w:w="9236" w:type="dxa"/>
        <w:pPr>
          <w:spacing/>
          <w:jc w:val="left"/>
        </w:pPr>
      </w:tblPr>
      <w:tblGrid>
        <w:gridCol w:w="840"/>
        <w:gridCol w:w="6585"/>
        <w:gridCol w:w="1811"/>
      </w:tblGrid>
      <w:tr>
        <w:trPr>
          <w:tblHeader w:val="0"/>
          <w:cantSplit w:val="0"/>
          <w:trHeight w:val="0" w:hRule="auto"/>
        </w:trPr>
        <w:tc>
          <w:tcPr>
            <w:tcW w:w="840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N п/п</w:t>
            </w:r>
          </w:p>
        </w:tc>
        <w:tc>
          <w:tcPr>
            <w:tcW w:w="6585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Предоставляемая информация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Источник данных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85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236" w:type="dxa"/>
            <w:gridSpan w:val="3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1. Общая информация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  <w:tc>
          <w:tcPr>
            <w:tcW w:w="1811" w:type="dxa"/>
            <w:vMerge w:val="restart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Перечень налоговых расходов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Код льготы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1.3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Нормативный правовой акт городского округа, устанавливающий льготу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1.4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Структурная единица нормативного правового акта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1.5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льготы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1.6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Целевая категория плательщиков налогов, для которых предусмотрена льгота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1.7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Дата начала действия права на льготу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1.8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Дата прекращения действия льготы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1.9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Целевая категория налогового расхода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1.10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Налог, по которому предусматривается льгота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1.11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муниципальной программы и (или) направления социально-экономической политики  городского округа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1.12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цели муниципальной программы и (или) цели социально-экономической политики  городского округа</w:t>
            </w:r>
          </w:p>
        </w:tc>
        <w:tc>
          <w:tcPr>
            <w:tcW w:w="1811" w:type="dxa"/>
            <w:vMerge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widowControl/>
              <w:rPr>
                <w:rFonts w:ascii="Liberation Serif" w:hAnsi="Liberation Serif"/>
                <w:sz w:val="24"/>
              </w:rPr>
            </w:pPr>
          </w:p>
        </w:tc>
      </w:tr>
      <w:tr>
        <w:trPr>
          <w:tblHeader w:val="0"/>
          <w:cantSplit w:val="0"/>
          <w:trHeight w:val="0" w:hRule="auto"/>
        </w:trPr>
        <w:tc>
          <w:tcPr>
            <w:tcW w:w="9236" w:type="dxa"/>
            <w:gridSpan w:val="3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2. Оценка соответствия налогового расхода целям муниципальных  программ и (или) целям социально-экономической политики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Вывод о соответствии налогового расхода цели муниципальной программы и (или) направления социально-экономической политики  городского округа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236" w:type="dxa"/>
            <w:gridSpan w:val="3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3. Оценка востребованности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Численность налогоплательщиков, потенциально имеющих право на получение льготы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3.2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Численность плательщиков, воспользовавшихся льготами, за отчетный год и за 5 лет, предшествующих отчетному году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 xml:space="preserve">Финансовое управление 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3.3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Пороговое значение, при достижении которого льгота признается востребованной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3.4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Фактическое значение уровня востребованности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3.5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Качественная интерпретация уровня востребованности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236" w:type="dxa"/>
            <w:gridSpan w:val="3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4. Оценка вклада льготы в изменение значения показателя (индикатора) достижения целей муниципальных программ и (или) целей социально-экономической политики  городского округа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Наименование целевого показателя (индикатора) достижения целей муниципальных программ и (или) целей социально-экономической политики  городского округа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4.2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Единица измерения индикатора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4.3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Фактические значение индикатора с учетом льготы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4.4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Расчетное значение индикатора без учета льготы (контрфактическое)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4.5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Значение вклада льготы в изменение значения индикатора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4.6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Качественная интерпретация значения вклада льготы в изменение значения индикатора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236" w:type="dxa"/>
            <w:gridSpan w:val="3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5. Оценка бюджетной эффективности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5.1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Вид альтернативного механизма достижения целей муниципальных программ и (или) целей социально-экономической политики  городского округа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5.2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Краткое описание альтернативного механизма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5.3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Фактические значение индикатора с учетом льготы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5.4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Расчетное значение целевого показателя при применении альтернативного механизма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5.5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Фактическое значение объема налогового расхода за отчетный год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 xml:space="preserve">Финансовое управление 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5.6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Расчетное значение объема расходов местного бюджета в целях применения альтернативного механизма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5.7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Количественное значение результатов сравнительного анализа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5.8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Качественное описание результатов сравнительного анализа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236" w:type="dxa"/>
            <w:gridSpan w:val="3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7. Результат оценки эффективности</w:t>
            </w:r>
          </w:p>
        </w:tc>
      </w:tr>
      <w:tr>
        <w:trPr>
          <w:tblHeader w:val="0"/>
          <w:cantSplit w:val="0"/>
          <w:trHeight w:val="739" w:hRule="atLeast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7.1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Вывод об эффективности (неэффективности) льготы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7.2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Предложение о сохранении (уточнении, отмене) льготы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7.3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/>
            <w:bookmarkStart w:id="4" w:name="__DdeLink__2890_2448077601"/>
            <w:r/>
            <w:r>
              <w:rPr>
                <w:szCs w:val="28"/>
              </w:rPr>
              <w:t>Краткое описание результатов оценки эффективности льготы</w:t>
            </w:r>
            <w:r/>
            <w:bookmarkEnd w:id="4"/>
            <w:r/>
            <w:r>
              <w:rPr>
                <w:szCs w:val="28"/>
              </w:rPr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840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7.4.</w:t>
            </w:r>
          </w:p>
        </w:tc>
        <w:tc>
          <w:tcPr>
            <w:tcW w:w="6585" w:type="dxa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spacing/>
              <w:jc w:val="left"/>
              <w:rPr>
                <w:szCs w:val="28"/>
              </w:rPr>
            </w:pPr>
            <w:r>
              <w:rPr>
                <w:szCs w:val="28"/>
              </w:rPr>
              <w:t>Краткое описание изменения количества получателей, объема предоставленных налоговых льгот за отчетный период по отношению к предшествующему отчетному периоду</w:t>
            </w:r>
          </w:p>
        </w:tc>
        <w:tc>
          <w:tcPr>
            <w:tcW w:w="1811" w:type="dxa"/>
            <w:vAlign w:val="center"/>
            <w:shd w:val="none"/>
            <w:tcMar>
              <w:top w:w="102" w:type="dxa"/>
              <w:left w:w="62" w:type="dxa"/>
              <w:bottom w:w="102" w:type="dxa"/>
              <w:right w:w="62" w:type="dxa"/>
            </w:tcMar>
            <w:tcBorders>
              <w:top w:val="nil" w:sz="0" w:space="0" w:color="000000" tmln="2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758872251" protected="0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Куратор</w:t>
            </w:r>
          </w:p>
        </w:tc>
      </w:tr>
    </w:tbl>
    <w:p>
      <w:pPr>
        <w:pStyle w:val="para20"/>
        <w:spacing/>
        <w:jc w:val="right"/>
        <w:outlineLvl w:val="1"/>
        <w:rPr>
          <w:szCs w:val="28"/>
        </w:rPr>
      </w:pPr>
      <w:r>
        <w:rPr>
          <w:szCs w:val="28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13"/>
      <w:footerReference w:type="default" r:id="rId14"/>
      <w:type w:val="nextPage"/>
      <w:pgSz w:h="16838" w:w="11906"/>
      <w:pgMar w:left="1701" w:top="1701" w:right="850" w:bottom="1701" w:header="1134" w:footer="1134"/>
      <w:paperSrc w:first="0" w:other="0" a="0" b="0"/>
      <w:pgNumType w:fmt="decimal"/>
      <w:titlePg/>
      <w:tmGutter w:val="3"/>
      <w:mirrorMargins w:val="0"/>
      <w:tmSection w:h="-2">
        <w:tmHeader w:id="0" w:h="0" edge="1134" text="0">
          <w:shd w:val="none"/>
        </w:tmHeader>
        <w:tmFooter w:id="0" w:h="0" edge="1134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Arial">
    <w:charset w:val="00"/>
    <w:family w:val="swiss"/>
    <w:pitch w:val="default"/>
  </w:font>
  <w:font w:name="Liberation Serif">
    <w:charset w:val="00"/>
    <w:family w:val="roman"/>
    <w:pitch w:val="default"/>
  </w:font>
  <w:font w:name="PT Astra Serif">
    <w:charset w:val="00"/>
    <w:family w:val="roman"/>
    <w:pitch w:val="default"/>
  </w:font>
  <w:font w:name="OpenSymbol">
    <w:charset w:val="02"/>
    <w:family w:val="auto"/>
    <w:pitch w:val="default"/>
  </w:font>
  <w:font w:name="Liberation Mono">
    <w:charset w:val="00"/>
    <w:family w:val="modern"/>
    <w:pitch w:val="default"/>
  </w:font>
  <w:font w:name="Courier New">
    <w:charset w:val="00"/>
    <w:family w:val="roman"/>
    <w:pitch w:val="default"/>
  </w:font>
  <w:font w:name="Arial Narrow">
    <w:charset w:val="00"/>
    <w:family w:val="swiss"/>
    <w:pitch w:val="default"/>
  </w:font>
  <w:font w:name="0">
    <w:charset w:val="00"/>
    <w:family w:val="roman"/>
    <w:pitch w:val="default"/>
  </w:font>
  <w:font w:name="Noto Sans Devanagari">
    <w:charset w:val="00"/>
    <w:family w:val="roman"/>
    <w:pitch w:val="default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3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100"/>
    </w:pPr>
    <w:r>
      <w:fldChar w:fldCharType="begin"/>
      <w:instrText xml:space="preserve"> PAGE </w:instrText>
      <w:fldChar w:fldCharType="separate"/>
      <w:t>13</w:t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none"/>
      <w:suff w:val="nothing"/>
      <w:lvlText w:val="%1"/>
      <w:lvlJc w:val="left"/>
      <w:pPr>
        <w:ind w:left="0" w:hanging="0"/>
      </w:pPr>
    </w:lvl>
    <w:lvl w:ilvl="1">
      <w:start w:val="1"/>
      <w:numFmt w:val="none"/>
      <w:suff w:val="nothing"/>
      <w:lvlText w:val="%2"/>
      <w:lvlJc w:val="left"/>
      <w:pPr>
        <w:ind w:left="0" w:hanging="0"/>
      </w:pPr>
    </w:lvl>
    <w:lvl w:ilvl="2">
      <w:start w:val="1"/>
      <w:numFmt w:val="none"/>
      <w:suff w:val="nothing"/>
      <w:lvlText w:val="%3"/>
      <w:lvlJc w:val="left"/>
      <w:pPr>
        <w:ind w:left="0" w:hanging="0"/>
      </w:pPr>
    </w:lvl>
    <w:lvl w:ilvl="3">
      <w:start w:val="1"/>
      <w:numFmt w:val="none"/>
      <w:suff w:val="nothing"/>
      <w:lvlText w:val="%4"/>
      <w:lvlJc w:val="left"/>
      <w:pPr>
        <w:ind w:left="0" w:hanging="0"/>
      </w:pPr>
    </w:lvl>
    <w:lvl w:ilvl="4">
      <w:start w:val="1"/>
      <w:numFmt w:val="none"/>
      <w:suff w:val="nothing"/>
      <w:lvlText w:val="%5"/>
      <w:lvlJc w:val="left"/>
      <w:pPr>
        <w:ind w:left="0" w:hanging="0"/>
      </w:pPr>
    </w:lvl>
    <w:lvl w:ilvl="5">
      <w:start w:val="1"/>
      <w:numFmt w:val="none"/>
      <w:suff w:val="nothing"/>
      <w:lvlText w:val="%6"/>
      <w:lvlJc w:val="left"/>
      <w:pPr>
        <w:ind w:left="0" w:hanging="0"/>
      </w:pPr>
    </w:lvl>
    <w:lvl w:ilvl="6">
      <w:start w:val="1"/>
      <w:numFmt w:val="none"/>
      <w:suff w:val="nothing"/>
      <w:lvlText w:val="%7"/>
      <w:lvlJc w:val="left"/>
      <w:pPr>
        <w:ind w:left="0" w:hanging="0"/>
      </w:pPr>
    </w:lvl>
    <w:lvl w:ilvl="7">
      <w:start w:val="1"/>
      <w:numFmt w:val="none"/>
      <w:suff w:val="nothing"/>
      <w:lvlText w:val="%8"/>
      <w:lvlJc w:val="left"/>
      <w:pPr>
        <w:ind w:left="0" w:hanging="0"/>
      </w:pPr>
    </w:lvl>
    <w:lvl w:ilvl="8">
      <w:start w:val="1"/>
      <w:numFmt w:val="none"/>
      <w:suff w:val="nothing"/>
      <w:lvlText w:val="%9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decimal"/>
      <w:pStyle w:val="para26"/>
      <w:suff w:val="space"/>
      <w:lvlText w:val="%1."/>
      <w:lvlJc w:val="left"/>
      <w:pPr>
        <w:ind w:left="709" w:hanging="0"/>
      </w:pPr>
    </w:lvl>
    <w:lvl w:ilvl="1">
      <w:start w:val="1"/>
      <w:numFmt w:val="decimal"/>
      <w:suff w:val="space"/>
      <w:lvlText w:val="%1.%2."/>
      <w:lvlJc w:val="left"/>
      <w:pPr>
        <w:ind w:left="709" w:hanging="0"/>
      </w:pPr>
    </w:lvl>
    <w:lvl w:ilvl="2">
      <w:start w:val="1"/>
      <w:numFmt w:val="decimal"/>
      <w:suff w:val="space"/>
      <w:lvlText w:val="%1.%2.%3."/>
      <w:lvlJc w:val="left"/>
      <w:pPr>
        <w:ind w:left="709" w:hanging="0"/>
      </w:pPr>
    </w:lvl>
    <w:lvl w:ilvl="3">
      <w:start w:val="1"/>
      <w:numFmt w:val="decimal"/>
      <w:suff w:val="space"/>
      <w:lvlText w:val="%1.%2.%3.%4."/>
      <w:lvlJc w:val="left"/>
      <w:pPr>
        <w:ind w:left="709" w:hanging="0"/>
      </w:pPr>
    </w:lvl>
    <w:lvl w:ilvl="4">
      <w:start w:val="1"/>
      <w:numFmt w:val="decimal"/>
      <w:suff w:val="space"/>
      <w:lvlText w:val="%1.%2.%3.%4.%5."/>
      <w:lvlJc w:val="left"/>
      <w:pPr>
        <w:ind w:left="709" w:hanging="0"/>
      </w:pPr>
    </w:lvl>
    <w:lvl w:ilvl="5">
      <w:start w:val="1"/>
      <w:numFmt w:val="decimal"/>
      <w:suff w:val="space"/>
      <w:lvlText w:val="%1.%2.%3.%4.%5.%6."/>
      <w:lvlJc w:val="left"/>
      <w:pPr>
        <w:ind w:left="709" w:hanging="0"/>
      </w:pPr>
    </w:lvl>
    <w:lvl w:ilvl="6">
      <w:start w:val="1"/>
      <w:numFmt w:val="decimal"/>
      <w:suff w:val="space"/>
      <w:lvlText w:val="%1.%2.%3.%4.%5.%6.%7."/>
      <w:lvlJc w:val="left"/>
      <w:pPr>
        <w:ind w:left="709" w:hanging="0"/>
      </w:pPr>
    </w:lvl>
    <w:lvl w:ilvl="7">
      <w:start w:val="1"/>
      <w:numFmt w:val="decimal"/>
      <w:suff w:val="space"/>
      <w:lvlText w:val="%1.%2.%3.%4.%5.%6.%7.%8."/>
      <w:lvlJc w:val="left"/>
      <w:pPr>
        <w:ind w:left="709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709" w:hanging="0"/>
      </w:pPr>
    </w:lvl>
  </w:abstractNum>
  <w:abstractNum w:abstractNumId="3">
    <w:multiLevelType w:val="hybridMultilevel"/>
    <w:name w:val="Нумерованный список 3"/>
    <w:lvl w:ilvl="0">
      <w:numFmt w:val="bullet"/>
      <w:pStyle w:val="para46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1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2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3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4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5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6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7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8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view w:val="print"/>
  <w:defaultTabStop w:val="709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3073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9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2"/>
    <w:tmLastPosSelect w:val="0"/>
    <w:tmLastPosFrameIdx w:val="0"/>
    <w:tmLastPosCaret>
      <w:tmLastPosPgfIdx w:val="35"/>
      <w:tmLastPosIdx w:val="29"/>
    </w:tmLastPosCaret>
    <w:tmLastPosAnchor>
      <w:tmLastPosPgfIdx w:val="0"/>
      <w:tmLastPosIdx w:val="0"/>
    </w:tmLastPosAnchor>
    <w:tmLastPosTblRect w:left="0" w:top="0" w:right="0" w:bottom="0"/>
  </w:tmLastPos>
  <w:tmAppRevision w:date="1758872251" w:val="1222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hAnsi="Liberation Serif" w:eastAsia="Source Han Sans CN Regular" w:cs="Lohit Devanagari"/>
        <w:kern w:val="1"/>
        <w:sz w:val="24"/>
        <w:szCs w:val="24"/>
        <w:lang w:val="ru-ru" w:eastAsia="ru-ru" w:bidi="ru-ru"/>
      </w:rPr>
    </w:rPrDefault>
    <w:pPrDefault>
      <w:pPr>
        <w:spacing/>
        <w:jc w:val="center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PT Astra Serif" w:hAnsi="PT Astra Serif"/>
      <w:sz w:val="28"/>
    </w:rPr>
  </w:style>
  <w:style w:type="paragraph" w:styleId="para1" w:customStyle="1">
    <w:name w:val="Заголовок"/>
    <w:qFormat/>
    <w:basedOn w:val="para0"/>
    <w:next w:val="para18"/>
    <w:rPr>
      <w:b/>
    </w:rPr>
  </w:style>
  <w:style w:type="paragraph" w:styleId="para2">
    <w:name w:val="heading 1"/>
    <w:qFormat/>
    <w:basedOn w:val="para1"/>
    <w:next w:val="para18"/>
    <w:pPr>
      <w:outlineLvl w:val="0"/>
    </w:pPr>
  </w:style>
  <w:style w:type="paragraph" w:styleId="para3">
    <w:name w:val="heading 2"/>
    <w:qFormat/>
    <w:basedOn w:val="para1"/>
    <w:next w:val="para11"/>
    <w:pPr>
      <w:outlineLvl w:val="1"/>
    </w:pPr>
  </w:style>
  <w:style w:type="paragraph" w:styleId="para4">
    <w:name w:val="heading 3"/>
    <w:qFormat/>
    <w:basedOn w:val="para1"/>
    <w:next w:val="para11"/>
    <w:pPr>
      <w:outlineLvl w:val="2"/>
    </w:pPr>
  </w:style>
  <w:style w:type="paragraph" w:styleId="para5">
    <w:name w:val="heading 4"/>
    <w:qFormat/>
    <w:basedOn w:val="para1"/>
    <w:next w:val="para11"/>
  </w:style>
  <w:style w:type="paragraph" w:styleId="para6">
    <w:name w:val="heading 5"/>
    <w:qFormat/>
    <w:basedOn w:val="para1"/>
    <w:next w:val="para11"/>
  </w:style>
  <w:style w:type="paragraph" w:styleId="para7">
    <w:name w:val="heading 6"/>
    <w:qFormat/>
    <w:basedOn w:val="para1"/>
    <w:next w:val="para11"/>
  </w:style>
  <w:style w:type="paragraph" w:styleId="para8">
    <w:name w:val="heading 7"/>
    <w:qFormat/>
    <w:basedOn w:val="para1"/>
    <w:next w:val="para11"/>
  </w:style>
  <w:style w:type="paragraph" w:styleId="para9">
    <w:name w:val="heading 8"/>
    <w:qFormat/>
    <w:basedOn w:val="para1"/>
    <w:next w:val="para11"/>
  </w:style>
  <w:style w:type="paragraph" w:styleId="para10">
    <w:name w:val="heading 9"/>
    <w:qFormat/>
    <w:basedOn w:val="para1"/>
    <w:next w:val="para11"/>
  </w:style>
  <w:style w:type="paragraph" w:styleId="para11">
    <w:name w:val="Body Text"/>
    <w:qFormat/>
    <w:basedOn w:val="para0"/>
    <w:pPr>
      <w:spacing/>
      <w:jc w:val="both"/>
    </w:pPr>
  </w:style>
  <w:style w:type="paragraph" w:styleId="para12">
    <w:name w:val="List"/>
    <w:qFormat/>
    <w:basedOn w:val="para11"/>
  </w:style>
  <w:style w:type="paragraph" w:styleId="para13">
    <w:name w:val="Signature"/>
    <w:qFormat/>
    <w:basedOn w:val="para0"/>
    <w:pPr>
      <w:spacing/>
      <w:jc w:val="left"/>
      <w:tabs defTabSz="709">
        <w:tab w:val="right" w:pos="31748" w:leader="none"/>
      </w:tabs>
    </w:pPr>
  </w:style>
  <w:style w:type="paragraph" w:styleId="para14">
    <w:name w:val="Index Heading"/>
    <w:qFormat/>
    <w:basedOn w:val="para0"/>
    <w:pPr>
      <w:spacing/>
      <w:jc w:val="left"/>
    </w:pPr>
  </w:style>
  <w:style w:type="paragraph" w:styleId="para15" w:customStyle="1">
    <w:name w:val="Блочная цитата"/>
    <w:qFormat/>
    <w:basedOn w:val="para0"/>
  </w:style>
  <w:style w:type="paragraph" w:styleId="para16">
    <w:name w:val="Title"/>
    <w:qFormat/>
    <w:basedOn w:val="para0"/>
    <w:next w:val="para18"/>
    <w:pPr>
      <w:spacing w:after="170"/>
    </w:pPr>
    <w:rPr>
      <w:b/>
    </w:rPr>
  </w:style>
  <w:style w:type="paragraph" w:styleId="para17">
    <w:name w:val="Subtitle"/>
    <w:qFormat/>
    <w:basedOn w:val="para0"/>
    <w:next w:val="para18"/>
    <w:pPr>
      <w:ind w:left="709"/>
      <w:spacing/>
      <w:jc w:val="both"/>
    </w:pPr>
    <w:rPr>
      <w:b/>
    </w:rPr>
  </w:style>
  <w:style w:type="paragraph" w:styleId="para18">
    <w:name w:val="Body Text First Indent"/>
    <w:qFormat/>
    <w:basedOn w:val="para0"/>
    <w:pPr>
      <w:ind w:firstLine="709"/>
      <w:spacing/>
      <w:jc w:val="both"/>
    </w:pPr>
  </w:style>
  <w:style w:type="paragraph" w:styleId="para19" w:customStyle="1">
    <w:name w:val="Обратный отступ"/>
    <w:qFormat/>
    <w:basedOn w:val="para11"/>
    <w:pPr>
      <w:tabs defTabSz="709">
        <w:tab w:val="left" w:pos="0" w:leader="none"/>
      </w:tabs>
    </w:pPr>
  </w:style>
  <w:style w:type="paragraph" w:styleId="para20">
    <w:name w:val="Body Text Indent"/>
    <w:qFormat/>
    <w:basedOn w:val="para11"/>
  </w:style>
  <w:style w:type="paragraph" w:styleId="para21">
    <w:name w:val="Salutation"/>
    <w:qFormat/>
    <w:basedOn w:val="para0"/>
  </w:style>
  <w:style w:type="paragraph" w:styleId="para22" w:customStyle="1">
    <w:name w:val="Отступы"/>
    <w:qFormat/>
    <w:basedOn w:val="para11"/>
    <w:pPr>
      <w:tabs defTabSz="709">
        <w:tab w:val="left" w:pos="0" w:leader="none"/>
      </w:tabs>
    </w:pPr>
  </w:style>
  <w:style w:type="paragraph" w:styleId="para23" w:customStyle="1">
    <w:name w:val="Annotation Text"/>
    <w:qFormat/>
    <w:basedOn w:val="para11"/>
  </w:style>
  <w:style w:type="paragraph" w:styleId="para24" w:customStyle="1">
    <w:name w:val="Заголовок 10"/>
    <w:qFormat/>
    <w:basedOn w:val="para1"/>
    <w:next w:val="para11"/>
  </w:style>
  <w:style w:type="paragraph" w:styleId="para25" w:customStyle="1">
    <w:name w:val="Нумерованный 1 начало"/>
    <w:qFormat/>
    <w:basedOn w:val="para12"/>
    <w:next w:val="para26"/>
  </w:style>
  <w:style w:type="paragraph" w:styleId="para26">
    <w:name w:val="List 3"/>
    <w:qFormat/>
    <w:basedOn w:val="para12"/>
    <w:pPr>
      <w:numPr>
        <w:ilvl w:val="0"/>
        <w:numId w:val="2"/>
      </w:numPr>
      <w:ind w:left="0" w:firstLine="709"/>
    </w:pPr>
  </w:style>
  <w:style w:type="paragraph" w:styleId="para27" w:customStyle="1">
    <w:name w:val="Нумерованный 1 конец"/>
    <w:qFormat/>
    <w:basedOn w:val="para12"/>
    <w:next w:val="para26"/>
  </w:style>
  <w:style w:type="paragraph" w:styleId="para28" w:customStyle="1">
    <w:name w:val="Нумерованный 1 прод."/>
    <w:qFormat/>
    <w:basedOn w:val="para12"/>
  </w:style>
  <w:style w:type="paragraph" w:styleId="para29" w:customStyle="1">
    <w:name w:val="Нумерованный 2 начало"/>
    <w:qFormat/>
    <w:basedOn w:val="para12"/>
    <w:next w:val="para30"/>
  </w:style>
  <w:style w:type="paragraph" w:styleId="para30">
    <w:name w:val="List Number 2"/>
    <w:qFormat/>
    <w:basedOn w:val="para12"/>
  </w:style>
  <w:style w:type="paragraph" w:styleId="para31" w:customStyle="1">
    <w:name w:val="Нумерованный 2 конец"/>
    <w:qFormat/>
    <w:basedOn w:val="para12"/>
    <w:next w:val="para30"/>
  </w:style>
  <w:style w:type="paragraph" w:styleId="para32" w:customStyle="1">
    <w:name w:val="Нумерованный 2 прод."/>
    <w:qFormat/>
    <w:basedOn w:val="para12"/>
  </w:style>
  <w:style w:type="paragraph" w:styleId="para33" w:customStyle="1">
    <w:name w:val="Нумерованный 3 начало"/>
    <w:qFormat/>
    <w:basedOn w:val="para12"/>
    <w:next w:val="para34"/>
  </w:style>
  <w:style w:type="paragraph" w:styleId="para34">
    <w:name w:val="List Number 3"/>
    <w:qFormat/>
    <w:basedOn w:val="para12"/>
  </w:style>
  <w:style w:type="paragraph" w:styleId="para35" w:customStyle="1">
    <w:name w:val="Нумерованный 3 конец"/>
    <w:qFormat/>
    <w:basedOn w:val="para12"/>
    <w:next w:val="para34"/>
  </w:style>
  <w:style w:type="paragraph" w:styleId="para36" w:customStyle="1">
    <w:name w:val="Нумерованный 3 прод."/>
    <w:qFormat/>
    <w:basedOn w:val="para12"/>
  </w:style>
  <w:style w:type="paragraph" w:styleId="para37" w:customStyle="1">
    <w:name w:val="Нумерованный 4 начало"/>
    <w:qFormat/>
    <w:basedOn w:val="para12"/>
    <w:next w:val="para38"/>
  </w:style>
  <w:style w:type="paragraph" w:styleId="para38">
    <w:name w:val="List Number 4"/>
    <w:qFormat/>
    <w:basedOn w:val="para12"/>
  </w:style>
  <w:style w:type="paragraph" w:styleId="para39" w:customStyle="1">
    <w:name w:val="Нумерованный 4 конец"/>
    <w:qFormat/>
    <w:basedOn w:val="para12"/>
    <w:next w:val="para38"/>
  </w:style>
  <w:style w:type="paragraph" w:styleId="para40" w:customStyle="1">
    <w:name w:val="Нумерованный 4 прод."/>
    <w:qFormat/>
    <w:basedOn w:val="para12"/>
  </w:style>
  <w:style w:type="paragraph" w:styleId="para41" w:customStyle="1">
    <w:name w:val="Нумерованный 5 начало"/>
    <w:qFormat/>
    <w:basedOn w:val="para12"/>
    <w:next w:val="para42"/>
  </w:style>
  <w:style w:type="paragraph" w:styleId="para42">
    <w:name w:val="List Number 5"/>
    <w:qFormat/>
    <w:basedOn w:val="para12"/>
  </w:style>
  <w:style w:type="paragraph" w:styleId="para43" w:customStyle="1">
    <w:name w:val="Нумерованный 5 конец"/>
    <w:qFormat/>
    <w:basedOn w:val="para12"/>
    <w:next w:val="para42"/>
  </w:style>
  <w:style w:type="paragraph" w:styleId="para44" w:customStyle="1">
    <w:name w:val="Нумерованный 5 прод."/>
    <w:qFormat/>
    <w:basedOn w:val="para12"/>
  </w:style>
  <w:style w:type="paragraph" w:styleId="para45" w:customStyle="1">
    <w:name w:val="Список 1 начало"/>
    <w:qFormat/>
    <w:basedOn w:val="para12"/>
    <w:next w:val="para46"/>
  </w:style>
  <w:style w:type="paragraph" w:styleId="para46">
    <w:name w:val="List 2"/>
    <w:qFormat/>
    <w:basedOn w:val="para12"/>
    <w:pPr>
      <w:numPr>
        <w:ilvl w:val="0"/>
        <w:numId w:val="3"/>
      </w:numPr>
      <w:ind w:left="0" w:firstLine="709"/>
    </w:pPr>
  </w:style>
  <w:style w:type="paragraph" w:styleId="para47" w:customStyle="1">
    <w:name w:val="Список 1 конец"/>
    <w:qFormat/>
    <w:basedOn w:val="para12"/>
    <w:next w:val="para46"/>
  </w:style>
  <w:style w:type="paragraph" w:styleId="para48">
    <w:name w:val="List Continue"/>
    <w:qFormat/>
    <w:basedOn w:val="para12"/>
  </w:style>
  <w:style w:type="paragraph" w:styleId="para49" w:customStyle="1">
    <w:name w:val="Список 2 начало"/>
    <w:qFormat/>
    <w:basedOn w:val="para12"/>
    <w:next w:val="para50"/>
  </w:style>
  <w:style w:type="paragraph" w:styleId="para50">
    <w:name w:val="List Bullet 3"/>
    <w:qFormat/>
    <w:basedOn w:val="para12"/>
  </w:style>
  <w:style w:type="paragraph" w:styleId="para51" w:customStyle="1">
    <w:name w:val="Список 2 конец"/>
    <w:qFormat/>
    <w:basedOn w:val="para12"/>
    <w:next w:val="para50"/>
  </w:style>
  <w:style w:type="paragraph" w:styleId="para52">
    <w:name w:val="List Continue 2"/>
    <w:qFormat/>
    <w:basedOn w:val="para12"/>
  </w:style>
  <w:style w:type="paragraph" w:styleId="para53" w:customStyle="1">
    <w:name w:val="Список 3 начало"/>
    <w:qFormat/>
    <w:basedOn w:val="para12"/>
    <w:next w:val="para54"/>
  </w:style>
  <w:style w:type="paragraph" w:styleId="para54">
    <w:name w:val="List Bullet 4"/>
    <w:qFormat/>
    <w:basedOn w:val="para12"/>
  </w:style>
  <w:style w:type="paragraph" w:styleId="para55" w:customStyle="1">
    <w:name w:val="Список 3 конец"/>
    <w:qFormat/>
    <w:basedOn w:val="para12"/>
    <w:next w:val="para54"/>
  </w:style>
  <w:style w:type="paragraph" w:styleId="para56">
    <w:name w:val="List Continue 3"/>
    <w:qFormat/>
    <w:basedOn w:val="para12"/>
  </w:style>
  <w:style w:type="paragraph" w:styleId="para57" w:customStyle="1">
    <w:name w:val="Список 4 начало"/>
    <w:qFormat/>
    <w:basedOn w:val="para12"/>
    <w:next w:val="para58"/>
  </w:style>
  <w:style w:type="paragraph" w:styleId="para58">
    <w:name w:val="List Bullet 5"/>
    <w:qFormat/>
    <w:basedOn w:val="para12"/>
  </w:style>
  <w:style w:type="paragraph" w:styleId="para59" w:customStyle="1">
    <w:name w:val="Список 4 конец"/>
    <w:qFormat/>
    <w:basedOn w:val="para12"/>
    <w:next w:val="para58"/>
  </w:style>
  <w:style w:type="paragraph" w:styleId="para60">
    <w:name w:val="List Continue 4"/>
    <w:qFormat/>
    <w:basedOn w:val="para12"/>
  </w:style>
  <w:style w:type="paragraph" w:styleId="para61" w:customStyle="1">
    <w:name w:val="Список 5 начало"/>
    <w:qFormat/>
    <w:basedOn w:val="para12"/>
    <w:next w:val="para62"/>
  </w:style>
  <w:style w:type="paragraph" w:styleId="para62">
    <w:name w:val="List Number"/>
    <w:qFormat/>
    <w:basedOn w:val="para12"/>
  </w:style>
  <w:style w:type="paragraph" w:styleId="para63" w:customStyle="1">
    <w:name w:val="Список 5 конец"/>
    <w:qFormat/>
    <w:basedOn w:val="para12"/>
    <w:next w:val="para62"/>
  </w:style>
  <w:style w:type="paragraph" w:styleId="para64">
    <w:name w:val="List Continue 5"/>
    <w:qFormat/>
    <w:basedOn w:val="para12"/>
  </w:style>
  <w:style w:type="paragraph" w:styleId="para65" w:customStyle="1">
    <w:name w:val="Index Heading"/>
    <w:qFormat/>
    <w:basedOn w:val="para1"/>
  </w:style>
  <w:style w:type="paragraph" w:styleId="para66">
    <w:name w:val="index 1"/>
    <w:qFormat/>
    <w:basedOn w:val="para14"/>
  </w:style>
  <w:style w:type="paragraph" w:styleId="para67">
    <w:name w:val="index 2"/>
    <w:qFormat/>
    <w:basedOn w:val="para14"/>
  </w:style>
  <w:style w:type="paragraph" w:styleId="para68">
    <w:name w:val="index 3"/>
    <w:qFormat/>
    <w:basedOn w:val="para14"/>
  </w:style>
  <w:style w:type="paragraph" w:styleId="para69" w:customStyle="1">
    <w:name w:val="Разделитель предметного указателя"/>
    <w:qFormat/>
    <w:basedOn w:val="para14"/>
  </w:style>
  <w:style w:type="paragraph" w:styleId="para70">
    <w:name w:val="TOC Heading"/>
    <w:qFormat/>
    <w:basedOn w:val="para1"/>
    <w:next w:val="para71"/>
  </w:style>
  <w:style w:type="paragraph" w:styleId="para71">
    <w:name w:val="toc 1"/>
    <w:qFormat/>
    <w:basedOn w:val="para14"/>
    <w:pPr>
      <w:tabs defTabSz="709">
        <w:tab w:val="right" w:pos="9638" w:leader="dot"/>
      </w:tabs>
    </w:pPr>
  </w:style>
  <w:style w:type="paragraph" w:styleId="para72">
    <w:name w:val="toc 2"/>
    <w:qFormat/>
    <w:basedOn w:val="para14"/>
    <w:pPr>
      <w:tabs defTabSz="709">
        <w:tab w:val="right" w:pos="9355" w:leader="dot"/>
      </w:tabs>
    </w:pPr>
  </w:style>
  <w:style w:type="paragraph" w:styleId="para73">
    <w:name w:val="toc 3"/>
    <w:qFormat/>
    <w:basedOn w:val="para14"/>
    <w:pPr>
      <w:tabs defTabSz="709">
        <w:tab w:val="right" w:pos="9072" w:leader="dot"/>
      </w:tabs>
    </w:pPr>
  </w:style>
  <w:style w:type="paragraph" w:styleId="para74">
    <w:name w:val="toc 4"/>
    <w:qFormat/>
    <w:basedOn w:val="para14"/>
    <w:pPr>
      <w:tabs defTabSz="709">
        <w:tab w:val="right" w:pos="8789" w:leader="dot"/>
      </w:tabs>
    </w:pPr>
  </w:style>
  <w:style w:type="paragraph" w:styleId="para75">
    <w:name w:val="toc 5"/>
    <w:qFormat/>
    <w:basedOn w:val="para14"/>
    <w:pPr>
      <w:tabs defTabSz="709">
        <w:tab w:val="right" w:pos="8506" w:leader="dot"/>
      </w:tabs>
    </w:pPr>
  </w:style>
  <w:style w:type="paragraph" w:styleId="para76" w:customStyle="1">
    <w:name w:val="Заголовок указателей пользователя"/>
    <w:qFormat/>
    <w:basedOn w:val="para1"/>
  </w:style>
  <w:style w:type="paragraph" w:styleId="para77" w:customStyle="1">
    <w:name w:val="Указатель пользователя 1"/>
    <w:qFormat/>
    <w:basedOn w:val="para14"/>
    <w:pPr>
      <w:tabs defTabSz="709">
        <w:tab w:val="right" w:pos="9638" w:leader="dot"/>
      </w:tabs>
    </w:pPr>
  </w:style>
  <w:style w:type="paragraph" w:styleId="para78" w:customStyle="1">
    <w:name w:val="Указатель пользователя 2"/>
    <w:qFormat/>
    <w:basedOn w:val="para14"/>
    <w:pPr>
      <w:tabs defTabSz="709">
        <w:tab w:val="right" w:pos="9355" w:leader="dot"/>
      </w:tabs>
    </w:pPr>
  </w:style>
  <w:style w:type="paragraph" w:styleId="para79" w:customStyle="1">
    <w:name w:val="Указатель пользователя 3"/>
    <w:qFormat/>
    <w:basedOn w:val="para14"/>
    <w:pPr>
      <w:tabs defTabSz="709">
        <w:tab w:val="right" w:pos="9072" w:leader="dot"/>
      </w:tabs>
    </w:pPr>
  </w:style>
  <w:style w:type="paragraph" w:styleId="para80" w:customStyle="1">
    <w:name w:val="Указатель пользователя 4"/>
    <w:qFormat/>
    <w:basedOn w:val="para14"/>
    <w:pPr>
      <w:tabs defTabSz="709">
        <w:tab w:val="right" w:pos="8789" w:leader="dot"/>
      </w:tabs>
    </w:pPr>
  </w:style>
  <w:style w:type="paragraph" w:styleId="para81" w:customStyle="1">
    <w:name w:val="Указатель пользователя 5"/>
    <w:qFormat/>
    <w:basedOn w:val="para14"/>
    <w:pPr>
      <w:tabs defTabSz="709">
        <w:tab w:val="right" w:pos="8506" w:leader="dot"/>
      </w:tabs>
    </w:pPr>
  </w:style>
  <w:style w:type="paragraph" w:styleId="para82">
    <w:name w:val="toc 6"/>
    <w:qFormat/>
    <w:basedOn w:val="para14"/>
    <w:pPr>
      <w:tabs defTabSz="709">
        <w:tab w:val="right" w:pos="8223" w:leader="dot"/>
      </w:tabs>
    </w:pPr>
  </w:style>
  <w:style w:type="paragraph" w:styleId="para83">
    <w:name w:val="toc 7"/>
    <w:qFormat/>
    <w:basedOn w:val="para14"/>
    <w:pPr>
      <w:tabs defTabSz="709">
        <w:tab w:val="right" w:pos="7940" w:leader="dot"/>
      </w:tabs>
    </w:pPr>
  </w:style>
  <w:style w:type="paragraph" w:styleId="para84">
    <w:name w:val="toc 8"/>
    <w:qFormat/>
    <w:basedOn w:val="para14"/>
    <w:pPr>
      <w:tabs defTabSz="709">
        <w:tab w:val="right" w:pos="7657" w:leader="dot"/>
      </w:tabs>
    </w:pPr>
  </w:style>
  <w:style w:type="paragraph" w:styleId="para85">
    <w:name w:val="toc 9"/>
    <w:qFormat/>
    <w:basedOn w:val="para14"/>
    <w:pPr>
      <w:tabs defTabSz="709">
        <w:tab w:val="right" w:pos="7374" w:leader="dot"/>
      </w:tabs>
    </w:pPr>
  </w:style>
  <w:style w:type="paragraph" w:styleId="para86" w:customStyle="1">
    <w:name w:val="Оглавление 10"/>
    <w:qFormat/>
    <w:basedOn w:val="para14"/>
    <w:pPr>
      <w:tabs defTabSz="709">
        <w:tab w:val="right" w:pos="7091" w:leader="dot"/>
      </w:tabs>
    </w:pPr>
  </w:style>
  <w:style w:type="paragraph" w:styleId="para87" w:customStyle="1">
    <w:name w:val="Illustration Index 1"/>
    <w:qFormat/>
    <w:basedOn w:val="para14"/>
    <w:pPr>
      <w:tabs defTabSz="709">
        <w:tab w:val="right" w:pos="9638" w:leader="dot"/>
      </w:tabs>
    </w:pPr>
  </w:style>
  <w:style w:type="paragraph" w:styleId="para88" w:customStyle="1">
    <w:name w:val="Заголовок списка объектов"/>
    <w:qFormat/>
    <w:basedOn w:val="para1"/>
  </w:style>
  <w:style w:type="paragraph" w:styleId="para89" w:customStyle="1">
    <w:name w:val="Список объектов 1"/>
    <w:qFormat/>
    <w:basedOn w:val="para14"/>
    <w:pPr>
      <w:tabs defTabSz="709">
        <w:tab w:val="right" w:pos="9638" w:leader="dot"/>
      </w:tabs>
    </w:pPr>
  </w:style>
  <w:style w:type="paragraph" w:styleId="para90" w:customStyle="1">
    <w:name w:val="Заголовок списка таблиц"/>
    <w:qFormat/>
    <w:basedOn w:val="para1"/>
  </w:style>
  <w:style w:type="paragraph" w:styleId="para91" w:customStyle="1">
    <w:name w:val="Список таблиц 1"/>
    <w:qFormat/>
    <w:basedOn w:val="para14"/>
    <w:pPr>
      <w:tabs defTabSz="709">
        <w:tab w:val="right" w:pos="9638" w:leader="dot"/>
      </w:tabs>
    </w:pPr>
  </w:style>
  <w:style w:type="paragraph" w:styleId="para92">
    <w:name w:val="Table of Authorities"/>
    <w:qFormat/>
    <w:basedOn w:val="para1"/>
  </w:style>
  <w:style w:type="paragraph" w:styleId="para93" w:customStyle="1">
    <w:name w:val="Библиография 1"/>
    <w:qFormat/>
    <w:basedOn w:val="para14"/>
    <w:pPr>
      <w:tabs defTabSz="709">
        <w:tab w:val="right" w:pos="9638" w:leader="dot"/>
      </w:tabs>
    </w:pPr>
  </w:style>
  <w:style w:type="paragraph" w:styleId="para94" w:customStyle="1">
    <w:name w:val="Указатель пользователя 6"/>
    <w:qFormat/>
    <w:basedOn w:val="para14"/>
    <w:pPr>
      <w:tabs defTabSz="709">
        <w:tab w:val="right" w:pos="8223" w:leader="dot"/>
      </w:tabs>
    </w:pPr>
  </w:style>
  <w:style w:type="paragraph" w:styleId="para95" w:customStyle="1">
    <w:name w:val="Указатель пользователя 7"/>
    <w:qFormat/>
    <w:basedOn w:val="para14"/>
    <w:pPr>
      <w:tabs defTabSz="709">
        <w:tab w:val="right" w:pos="7940" w:leader="dot"/>
      </w:tabs>
    </w:pPr>
  </w:style>
  <w:style w:type="paragraph" w:styleId="para96" w:customStyle="1">
    <w:name w:val="Указатель пользователя 8"/>
    <w:qFormat/>
    <w:basedOn w:val="para14"/>
    <w:pPr>
      <w:tabs defTabSz="709">
        <w:tab w:val="right" w:pos="7657" w:leader="dot"/>
      </w:tabs>
    </w:pPr>
  </w:style>
  <w:style w:type="paragraph" w:styleId="para97" w:customStyle="1">
    <w:name w:val="Указатель пользователя 9"/>
    <w:qFormat/>
    <w:basedOn w:val="para14"/>
    <w:pPr>
      <w:tabs defTabSz="709">
        <w:tab w:val="right" w:pos="7374" w:leader="dot"/>
      </w:tabs>
    </w:pPr>
  </w:style>
  <w:style w:type="paragraph" w:styleId="para98" w:customStyle="1">
    <w:name w:val="Указатель пользователя 10"/>
    <w:qFormat/>
    <w:basedOn w:val="para14"/>
    <w:pPr>
      <w:tabs defTabSz="709">
        <w:tab w:val="right" w:pos="7091" w:leader="dot"/>
      </w:tabs>
    </w:pPr>
  </w:style>
  <w:style w:type="paragraph" w:styleId="para99" w:customStyle="1">
    <w:name w:val="Колонтитул"/>
    <w:qFormat/>
    <w:basedOn w:val="para0"/>
    <w:pPr>
      <w:suppressLineNumbers/>
      <w:tabs defTabSz="709">
        <w:tab w:val="center" w:pos="4819" w:leader="none"/>
        <w:tab w:val="right" w:pos="9638" w:leader="none"/>
      </w:tabs>
    </w:pPr>
  </w:style>
  <w:style w:type="paragraph" w:styleId="para100">
    <w:name w:val="Head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1" w:customStyle="1">
    <w:name w:val="Верх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2" w:customStyle="1">
    <w:name w:val="Верх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3">
    <w:name w:val="Foot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4" w:customStyle="1">
    <w:name w:val="Ниж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5" w:customStyle="1">
    <w:name w:val="Ниж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6" w:customStyle="1">
    <w:name w:val="Содержимое таблицы"/>
    <w:qFormat/>
    <w:basedOn w:val="para0"/>
  </w:style>
  <w:style w:type="paragraph" w:styleId="para107" w:customStyle="1">
    <w:name w:val="Заголовок таблицы"/>
    <w:qFormat/>
    <w:basedOn w:val="para106"/>
    <w:rPr>
      <w:b/>
    </w:rPr>
  </w:style>
  <w:style w:type="paragraph" w:styleId="para108" w:customStyle="1">
    <w:name w:val="Иллюстрация"/>
    <w:qFormat/>
    <w:basedOn w:val="para13"/>
    <w:pPr>
      <w:spacing/>
      <w:jc w:val="center"/>
      <w:tabs defTabSz="709"/>
    </w:pPr>
  </w:style>
  <w:style w:type="paragraph" w:styleId="para109" w:customStyle="1">
    <w:name w:val="Таблица"/>
    <w:qFormat/>
    <w:basedOn w:val="para13"/>
    <w:pPr>
      <w:spacing/>
      <w:jc w:val="center"/>
      <w:tabs defTabSz="709"/>
    </w:pPr>
  </w:style>
  <w:style w:type="paragraph" w:styleId="para110" w:customStyle="1">
    <w:name w:val="Текст"/>
    <w:qFormat/>
    <w:basedOn w:val="para13"/>
    <w:pPr>
      <w:spacing/>
      <w:jc w:val="center"/>
      <w:tabs defTabSz="709"/>
    </w:pPr>
  </w:style>
  <w:style w:type="paragraph" w:styleId="para111" w:customStyle="1">
    <w:name w:val="Содержимое врезки"/>
    <w:qFormat/>
    <w:basedOn w:val="para0"/>
  </w:style>
  <w:style w:type="paragraph" w:styleId="para112">
    <w:name w:val="Footnote Text"/>
    <w:qFormat/>
    <w:basedOn w:val="para0"/>
    <w:pPr>
      <w:spacing/>
      <w:jc w:val="left"/>
    </w:pPr>
  </w:style>
  <w:style w:type="paragraph" w:styleId="para113">
    <w:name w:val="Envelope Address"/>
    <w:qFormat/>
    <w:basedOn w:val="para0"/>
  </w:style>
  <w:style w:type="paragraph" w:styleId="para114">
    <w:name w:val="Envelope Return"/>
    <w:qFormat/>
    <w:basedOn w:val="para0"/>
  </w:style>
  <w:style w:type="paragraph" w:styleId="para115">
    <w:name w:val="Endnote Text"/>
    <w:qFormat/>
    <w:basedOn w:val="para0"/>
  </w:style>
  <w:style w:type="paragraph" w:styleId="para116">
    <w:name w:val="Table of Figures"/>
    <w:qFormat/>
    <w:basedOn w:val="para13"/>
    <w:pPr>
      <w:spacing/>
      <w:jc w:val="center"/>
      <w:tabs defTabSz="709"/>
    </w:pPr>
  </w:style>
  <w:style w:type="paragraph" w:styleId="para117" w:customStyle="1">
    <w:name w:val="Текст в заданном формате"/>
    <w:qFormat/>
    <w:basedOn w:val="para0"/>
  </w:style>
  <w:style w:type="paragraph" w:styleId="para118" w:customStyle="1">
    <w:name w:val="Горизонтальная линия"/>
    <w:qFormat/>
    <w:basedOn w:val="para0"/>
    <w:next w:val="para11"/>
    <w:pPr>
      <w:pBdr>
        <w:top w:val="nil" w:sz="0" w:space="3" w:color="000000" tmln="20, 20, 20, 0, 60"/>
        <w:left w:val="nil" w:sz="0" w:space="3" w:color="000000" tmln="20, 20, 20, 0, 60"/>
        <w:bottom w:val="single" w:sz="8" w:space="0" w:color="000000" tmln="20, 20, 20, 0, 0"/>
        <w:right w:val="nil" w:sz="0" w:space="3" w:color="000000" tmln="20, 20, 20, 0, 60"/>
        <w:between w:val="nil" w:sz="0" w:space="0" w:color="000000" tmln="20, 20, 20, 0, 0"/>
      </w:pBdr>
      <w:shd w:val="none"/>
    </w:pPr>
    <w:rPr>
      <w:sz w:val="4"/>
    </w:rPr>
  </w:style>
  <w:style w:type="paragraph" w:styleId="para119" w:customStyle="1">
    <w:name w:val="Содержимое списка"/>
    <w:qFormat/>
    <w:basedOn w:val="para0"/>
  </w:style>
  <w:style w:type="paragraph" w:styleId="para120" w:customStyle="1">
    <w:name w:val="Заголовок списка"/>
    <w:qFormat/>
    <w:basedOn w:val="para0"/>
    <w:next w:val="para119"/>
  </w:style>
  <w:style w:type="paragraph" w:styleId="para121" w:customStyle="1">
    <w:name w:val="Гриф_Экземпляр"/>
    <w:qFormat/>
    <w:basedOn w:val="para0"/>
    <w:rPr>
      <w:sz w:val="24"/>
    </w:rPr>
  </w:style>
  <w:style w:type="paragraph" w:styleId="para122" w:customStyle="1">
    <w:name w:val="Исполнитель документа"/>
    <w:qFormat/>
    <w:basedOn w:val="para0"/>
    <w:pPr>
      <w:spacing/>
      <w:jc w:val="left"/>
    </w:pPr>
    <w:rPr>
      <w:sz w:val="24"/>
    </w:rPr>
  </w:style>
  <w:style w:type="paragraph" w:styleId="para123" w:customStyle="1">
    <w:name w:val="Заголовок списка иллюстраций"/>
    <w:qFormat/>
    <w:basedOn w:val="para1"/>
    <w:pPr>
      <w:suppressLineNumbers/>
    </w:pPr>
  </w:style>
  <w:style w:type="paragraph" w:styleId="para124" w:customStyle="1">
    <w:name w:val="ConsPlusNormal"/>
    <w:qFormat/>
    <w:pPr>
      <w:spacing/>
      <w:jc w:val="left"/>
    </w:pPr>
    <w:rPr>
      <w:rFonts w:ascii="Arial" w:hAnsi="Arial" w:eastAsia="Times New Roman" w:cs="Arial"/>
      <w:kern w:val="1"/>
      <w:lang w:val="ru-ru" w:eastAsia="ru-ru" w:bidi="ar-sa"/>
    </w:rPr>
  </w:style>
  <w:style w:type="paragraph" w:styleId="para125" w:customStyle="1">
    <w:name w:val="ConsPlusNonformat"/>
    <w:qFormat/>
    <w:pPr>
      <w:spacing/>
      <w:jc w:val="left"/>
    </w:pPr>
    <w:rPr>
      <w:rFonts w:ascii="Courier New" w:hAnsi="Courier New" w:eastAsia="Times New Roman" w:cs="Courier New"/>
      <w:kern w:val="1"/>
      <w:lang w:val="ru-ru" w:eastAsia="ru-ru" w:bidi="ar-sa"/>
    </w:rPr>
  </w:style>
  <w:style w:type="character" w:styleId="char0" w:default="1">
    <w:name w:val="Default Paragraph Font"/>
  </w:style>
  <w:style w:type="character" w:styleId="char1" w:customStyle="1">
    <w:name w:val="Символ нумерации"/>
  </w:style>
  <w:style w:type="character" w:styleId="char2" w:customStyle="1">
    <w:name w:val="Маркеры"/>
    <w:rPr>
      <w:rFonts w:ascii="OpenSymbol" w:hAnsi="OpenSymbol" w:eastAsia="OpenSymbol" w:cs="OpenSymbol"/>
    </w:rPr>
  </w:style>
  <w:style w:type="character" w:styleId="char3" w:customStyle="1">
    <w:name w:val="Символ сноски"/>
  </w:style>
  <w:style w:type="character" w:styleId="char4">
    <w:name w:val="Footnote Reference"/>
    <w:rPr>
      <w:vertAlign w:val="superscript"/>
    </w:rPr>
  </w:style>
  <w:style w:type="character" w:styleId="char5">
    <w:name w:val="Page Number"/>
  </w:style>
  <w:style w:type="character" w:styleId="char6" w:customStyle="1">
    <w:name w:val="Символы названия"/>
  </w:style>
  <w:style w:type="character" w:styleId="char7" w:customStyle="1">
    <w:name w:val="Буквица"/>
  </w:style>
  <w:style w:type="character" w:styleId="char8">
    <w:name w:val="Hyperlink"/>
    <w:rPr>
      <w:color w:val="000080"/>
      <w:u w:color="auto" w:val="single"/>
      <w:noProof w:val="1"/>
    </w:rPr>
  </w:style>
  <w:style w:type="character" w:styleId="char9">
    <w:name w:val="FollowedHyperlink"/>
    <w:rPr>
      <w:color w:val="800000"/>
      <w:u w:color="auto" w:val="single"/>
      <w:noProof w:val="1"/>
    </w:rPr>
  </w:style>
  <w:style w:type="character" w:styleId="char10" w:customStyle="1">
    <w:name w:val="Заполнитель"/>
    <w:rPr>
      <w:smallCaps w:percent="80"/>
      <w:color w:val="008080"/>
      <w:u w:color="auto" w:val="dotted"/>
    </w:rPr>
  </w:style>
  <w:style w:type="character" w:styleId="char11" w:customStyle="1">
    <w:name w:val="Ссылка указателя"/>
  </w:style>
  <w:style w:type="character" w:styleId="char12" w:customStyle="1">
    <w:name w:val="Символ концевой сноски"/>
  </w:style>
  <w:style w:type="character" w:styleId="char13">
    <w:name w:val="Line Number"/>
  </w:style>
  <w:style w:type="character" w:styleId="char14" w:customStyle="1">
    <w:name w:val="Основной элемент указателя"/>
    <w:rPr>
      <w:b/>
      <w:bCs/>
    </w:rPr>
  </w:style>
  <w:style w:type="character" w:styleId="char15">
    <w:name w:val="Endnote Reference"/>
    <w:rPr>
      <w:vertAlign w:val="superscript"/>
    </w:rPr>
  </w:style>
  <w:style w:type="character" w:styleId="char16" w:customStyle="1">
    <w:name w:val="Фуригана"/>
    <w:rPr>
      <w:sz w:val="12"/>
      <w:szCs w:val="12"/>
      <w:u w:color="auto" w:val="none"/>
    </w:rPr>
  </w:style>
  <w:style w:type="character" w:styleId="char17" w:customStyle="1">
    <w:name w:val="Вертикальное направление символов"/>
  </w:style>
  <w:style w:type="character" w:styleId="char18">
    <w:name w:val="Emphasis"/>
    <w:rPr>
      <w:i/>
      <w:iCs/>
    </w:rPr>
  </w:style>
  <w:style w:type="character" w:styleId="char19" w:customStyle="1">
    <w:name w:val="Цитата"/>
    <w:rPr>
      <w:i/>
      <w:iCs/>
    </w:rPr>
  </w:style>
  <w:style w:type="character" w:styleId="char20">
    <w:name w:val="Strong"/>
    <w:rPr>
      <w:b/>
      <w:bCs/>
    </w:rPr>
  </w:style>
  <w:style w:type="character" w:styleId="char21" w:customStyle="1">
    <w:name w:val="Исходный текст"/>
    <w:rPr>
      <w:rFonts w:ascii="Liberation Mono" w:hAnsi="Liberation Mono" w:eastAsia="Liberation Mono" w:cs="Liberation Mono"/>
    </w:rPr>
  </w:style>
  <w:style w:type="character" w:styleId="char22" w:customStyle="1">
    <w:name w:val="Пример"/>
    <w:rPr>
      <w:rFonts w:ascii="Liberation Mono" w:hAnsi="Liberation Mono" w:eastAsia="Liberation Mono" w:cs="Liberation Mono"/>
    </w:rPr>
  </w:style>
  <w:style w:type="character" w:styleId="char23" w:customStyle="1">
    <w:name w:val="Ввод пользователя"/>
    <w:rPr>
      <w:rFonts w:ascii="Liberation Mono" w:hAnsi="Liberation Mono" w:eastAsia="Liberation Mono" w:cs="Liberation Mono"/>
    </w:rPr>
  </w:style>
  <w:style w:type="character" w:styleId="char24" w:customStyle="1">
    <w:name w:val="Переменная"/>
    <w:rPr>
      <w:i/>
      <w:iCs/>
    </w:rPr>
  </w:style>
  <w:style w:type="character" w:styleId="char25" w:customStyle="1">
    <w:name w:val="Определение"/>
  </w:style>
  <w:style w:type="character" w:styleId="char26" w:customStyle="1">
    <w:name w:val="Непропорциональный текст"/>
    <w:rPr>
      <w:rFonts w:ascii="Liberation Mono" w:hAnsi="Liberation Mono" w:eastAsia="Liberation Mono" w:cs="Liberation Mono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Liberation Serif" w:hAnsi="Liberation Serif" w:eastAsia="Source Han Sans CN Regular" w:cs="Lohit Devanagari"/>
        <w:kern w:val="1"/>
        <w:sz w:val="24"/>
        <w:szCs w:val="24"/>
        <w:lang w:val="ru-ru" w:eastAsia="ru-ru" w:bidi="ru-ru"/>
      </w:rPr>
    </w:rPrDefault>
    <w:pPrDefault>
      <w:pPr>
        <w:spacing/>
        <w:jc w:val="center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PT Astra Serif" w:hAnsi="PT Astra Serif"/>
      <w:sz w:val="28"/>
    </w:rPr>
  </w:style>
  <w:style w:type="paragraph" w:styleId="para1" w:customStyle="1">
    <w:name w:val="Заголовок"/>
    <w:qFormat/>
    <w:basedOn w:val="para0"/>
    <w:next w:val="para18"/>
    <w:rPr>
      <w:b/>
    </w:rPr>
  </w:style>
  <w:style w:type="paragraph" w:styleId="para2">
    <w:name w:val="heading 1"/>
    <w:qFormat/>
    <w:basedOn w:val="para1"/>
    <w:next w:val="para18"/>
    <w:pPr>
      <w:outlineLvl w:val="0"/>
    </w:pPr>
  </w:style>
  <w:style w:type="paragraph" w:styleId="para3">
    <w:name w:val="heading 2"/>
    <w:qFormat/>
    <w:basedOn w:val="para1"/>
    <w:next w:val="para11"/>
    <w:pPr>
      <w:outlineLvl w:val="1"/>
    </w:pPr>
  </w:style>
  <w:style w:type="paragraph" w:styleId="para4">
    <w:name w:val="heading 3"/>
    <w:qFormat/>
    <w:basedOn w:val="para1"/>
    <w:next w:val="para11"/>
    <w:pPr>
      <w:outlineLvl w:val="2"/>
    </w:pPr>
  </w:style>
  <w:style w:type="paragraph" w:styleId="para5">
    <w:name w:val="heading 4"/>
    <w:qFormat/>
    <w:basedOn w:val="para1"/>
    <w:next w:val="para11"/>
  </w:style>
  <w:style w:type="paragraph" w:styleId="para6">
    <w:name w:val="heading 5"/>
    <w:qFormat/>
    <w:basedOn w:val="para1"/>
    <w:next w:val="para11"/>
  </w:style>
  <w:style w:type="paragraph" w:styleId="para7">
    <w:name w:val="heading 6"/>
    <w:qFormat/>
    <w:basedOn w:val="para1"/>
    <w:next w:val="para11"/>
  </w:style>
  <w:style w:type="paragraph" w:styleId="para8">
    <w:name w:val="heading 7"/>
    <w:qFormat/>
    <w:basedOn w:val="para1"/>
    <w:next w:val="para11"/>
  </w:style>
  <w:style w:type="paragraph" w:styleId="para9">
    <w:name w:val="heading 8"/>
    <w:qFormat/>
    <w:basedOn w:val="para1"/>
    <w:next w:val="para11"/>
  </w:style>
  <w:style w:type="paragraph" w:styleId="para10">
    <w:name w:val="heading 9"/>
    <w:qFormat/>
    <w:basedOn w:val="para1"/>
    <w:next w:val="para11"/>
  </w:style>
  <w:style w:type="paragraph" w:styleId="para11">
    <w:name w:val="Body Text"/>
    <w:qFormat/>
    <w:basedOn w:val="para0"/>
    <w:pPr>
      <w:spacing/>
      <w:jc w:val="both"/>
    </w:pPr>
  </w:style>
  <w:style w:type="paragraph" w:styleId="para12">
    <w:name w:val="List"/>
    <w:qFormat/>
    <w:basedOn w:val="para11"/>
  </w:style>
  <w:style w:type="paragraph" w:styleId="para13">
    <w:name w:val="Signature"/>
    <w:qFormat/>
    <w:basedOn w:val="para0"/>
    <w:pPr>
      <w:spacing/>
      <w:jc w:val="left"/>
      <w:tabs defTabSz="709">
        <w:tab w:val="right" w:pos="31748" w:leader="none"/>
      </w:tabs>
    </w:pPr>
  </w:style>
  <w:style w:type="paragraph" w:styleId="para14">
    <w:name w:val="Index Heading"/>
    <w:qFormat/>
    <w:basedOn w:val="para0"/>
    <w:pPr>
      <w:spacing/>
      <w:jc w:val="left"/>
    </w:pPr>
  </w:style>
  <w:style w:type="paragraph" w:styleId="para15" w:customStyle="1">
    <w:name w:val="Блочная цитата"/>
    <w:qFormat/>
    <w:basedOn w:val="para0"/>
  </w:style>
  <w:style w:type="paragraph" w:styleId="para16">
    <w:name w:val="Title"/>
    <w:qFormat/>
    <w:basedOn w:val="para0"/>
    <w:next w:val="para18"/>
    <w:pPr>
      <w:spacing w:after="170"/>
    </w:pPr>
    <w:rPr>
      <w:b/>
    </w:rPr>
  </w:style>
  <w:style w:type="paragraph" w:styleId="para17">
    <w:name w:val="Subtitle"/>
    <w:qFormat/>
    <w:basedOn w:val="para0"/>
    <w:next w:val="para18"/>
    <w:pPr>
      <w:ind w:left="709"/>
      <w:spacing/>
      <w:jc w:val="both"/>
    </w:pPr>
    <w:rPr>
      <w:b/>
    </w:rPr>
  </w:style>
  <w:style w:type="paragraph" w:styleId="para18">
    <w:name w:val="Body Text First Indent"/>
    <w:qFormat/>
    <w:basedOn w:val="para0"/>
    <w:pPr>
      <w:ind w:firstLine="709"/>
      <w:spacing/>
      <w:jc w:val="both"/>
    </w:pPr>
  </w:style>
  <w:style w:type="paragraph" w:styleId="para19" w:customStyle="1">
    <w:name w:val="Обратный отступ"/>
    <w:qFormat/>
    <w:basedOn w:val="para11"/>
    <w:pPr>
      <w:tabs defTabSz="709">
        <w:tab w:val="left" w:pos="0" w:leader="none"/>
      </w:tabs>
    </w:pPr>
  </w:style>
  <w:style w:type="paragraph" w:styleId="para20">
    <w:name w:val="Body Text Indent"/>
    <w:qFormat/>
    <w:basedOn w:val="para11"/>
  </w:style>
  <w:style w:type="paragraph" w:styleId="para21">
    <w:name w:val="Salutation"/>
    <w:qFormat/>
    <w:basedOn w:val="para0"/>
  </w:style>
  <w:style w:type="paragraph" w:styleId="para22" w:customStyle="1">
    <w:name w:val="Отступы"/>
    <w:qFormat/>
    <w:basedOn w:val="para11"/>
    <w:pPr>
      <w:tabs defTabSz="709">
        <w:tab w:val="left" w:pos="0" w:leader="none"/>
      </w:tabs>
    </w:pPr>
  </w:style>
  <w:style w:type="paragraph" w:styleId="para23" w:customStyle="1">
    <w:name w:val="Annotation Text"/>
    <w:qFormat/>
    <w:basedOn w:val="para11"/>
  </w:style>
  <w:style w:type="paragraph" w:styleId="para24" w:customStyle="1">
    <w:name w:val="Заголовок 10"/>
    <w:qFormat/>
    <w:basedOn w:val="para1"/>
    <w:next w:val="para11"/>
  </w:style>
  <w:style w:type="paragraph" w:styleId="para25" w:customStyle="1">
    <w:name w:val="Нумерованный 1 начало"/>
    <w:qFormat/>
    <w:basedOn w:val="para12"/>
    <w:next w:val="para26"/>
  </w:style>
  <w:style w:type="paragraph" w:styleId="para26">
    <w:name w:val="List 3"/>
    <w:qFormat/>
    <w:basedOn w:val="para12"/>
    <w:pPr>
      <w:numPr>
        <w:ilvl w:val="0"/>
        <w:numId w:val="2"/>
      </w:numPr>
      <w:ind w:left="0" w:firstLine="709"/>
    </w:pPr>
  </w:style>
  <w:style w:type="paragraph" w:styleId="para27" w:customStyle="1">
    <w:name w:val="Нумерованный 1 конец"/>
    <w:qFormat/>
    <w:basedOn w:val="para12"/>
    <w:next w:val="para26"/>
  </w:style>
  <w:style w:type="paragraph" w:styleId="para28" w:customStyle="1">
    <w:name w:val="Нумерованный 1 прод."/>
    <w:qFormat/>
    <w:basedOn w:val="para12"/>
  </w:style>
  <w:style w:type="paragraph" w:styleId="para29" w:customStyle="1">
    <w:name w:val="Нумерованный 2 начало"/>
    <w:qFormat/>
    <w:basedOn w:val="para12"/>
    <w:next w:val="para30"/>
  </w:style>
  <w:style w:type="paragraph" w:styleId="para30">
    <w:name w:val="List Number 2"/>
    <w:qFormat/>
    <w:basedOn w:val="para12"/>
  </w:style>
  <w:style w:type="paragraph" w:styleId="para31" w:customStyle="1">
    <w:name w:val="Нумерованный 2 конец"/>
    <w:qFormat/>
    <w:basedOn w:val="para12"/>
    <w:next w:val="para30"/>
  </w:style>
  <w:style w:type="paragraph" w:styleId="para32" w:customStyle="1">
    <w:name w:val="Нумерованный 2 прод."/>
    <w:qFormat/>
    <w:basedOn w:val="para12"/>
  </w:style>
  <w:style w:type="paragraph" w:styleId="para33" w:customStyle="1">
    <w:name w:val="Нумерованный 3 начало"/>
    <w:qFormat/>
    <w:basedOn w:val="para12"/>
    <w:next w:val="para34"/>
  </w:style>
  <w:style w:type="paragraph" w:styleId="para34">
    <w:name w:val="List Number 3"/>
    <w:qFormat/>
    <w:basedOn w:val="para12"/>
  </w:style>
  <w:style w:type="paragraph" w:styleId="para35" w:customStyle="1">
    <w:name w:val="Нумерованный 3 конец"/>
    <w:qFormat/>
    <w:basedOn w:val="para12"/>
    <w:next w:val="para34"/>
  </w:style>
  <w:style w:type="paragraph" w:styleId="para36" w:customStyle="1">
    <w:name w:val="Нумерованный 3 прод."/>
    <w:qFormat/>
    <w:basedOn w:val="para12"/>
  </w:style>
  <w:style w:type="paragraph" w:styleId="para37" w:customStyle="1">
    <w:name w:val="Нумерованный 4 начало"/>
    <w:qFormat/>
    <w:basedOn w:val="para12"/>
    <w:next w:val="para38"/>
  </w:style>
  <w:style w:type="paragraph" w:styleId="para38">
    <w:name w:val="List Number 4"/>
    <w:qFormat/>
    <w:basedOn w:val="para12"/>
  </w:style>
  <w:style w:type="paragraph" w:styleId="para39" w:customStyle="1">
    <w:name w:val="Нумерованный 4 конец"/>
    <w:qFormat/>
    <w:basedOn w:val="para12"/>
    <w:next w:val="para38"/>
  </w:style>
  <w:style w:type="paragraph" w:styleId="para40" w:customStyle="1">
    <w:name w:val="Нумерованный 4 прод."/>
    <w:qFormat/>
    <w:basedOn w:val="para12"/>
  </w:style>
  <w:style w:type="paragraph" w:styleId="para41" w:customStyle="1">
    <w:name w:val="Нумерованный 5 начало"/>
    <w:qFormat/>
    <w:basedOn w:val="para12"/>
    <w:next w:val="para42"/>
  </w:style>
  <w:style w:type="paragraph" w:styleId="para42">
    <w:name w:val="List Number 5"/>
    <w:qFormat/>
    <w:basedOn w:val="para12"/>
  </w:style>
  <w:style w:type="paragraph" w:styleId="para43" w:customStyle="1">
    <w:name w:val="Нумерованный 5 конец"/>
    <w:qFormat/>
    <w:basedOn w:val="para12"/>
    <w:next w:val="para42"/>
  </w:style>
  <w:style w:type="paragraph" w:styleId="para44" w:customStyle="1">
    <w:name w:val="Нумерованный 5 прод."/>
    <w:qFormat/>
    <w:basedOn w:val="para12"/>
  </w:style>
  <w:style w:type="paragraph" w:styleId="para45" w:customStyle="1">
    <w:name w:val="Список 1 начало"/>
    <w:qFormat/>
    <w:basedOn w:val="para12"/>
    <w:next w:val="para46"/>
  </w:style>
  <w:style w:type="paragraph" w:styleId="para46">
    <w:name w:val="List 2"/>
    <w:qFormat/>
    <w:basedOn w:val="para12"/>
    <w:pPr>
      <w:numPr>
        <w:ilvl w:val="0"/>
        <w:numId w:val="3"/>
      </w:numPr>
      <w:ind w:left="0" w:firstLine="709"/>
    </w:pPr>
  </w:style>
  <w:style w:type="paragraph" w:styleId="para47" w:customStyle="1">
    <w:name w:val="Список 1 конец"/>
    <w:qFormat/>
    <w:basedOn w:val="para12"/>
    <w:next w:val="para46"/>
  </w:style>
  <w:style w:type="paragraph" w:styleId="para48">
    <w:name w:val="List Continue"/>
    <w:qFormat/>
    <w:basedOn w:val="para12"/>
  </w:style>
  <w:style w:type="paragraph" w:styleId="para49" w:customStyle="1">
    <w:name w:val="Список 2 начало"/>
    <w:qFormat/>
    <w:basedOn w:val="para12"/>
    <w:next w:val="para50"/>
  </w:style>
  <w:style w:type="paragraph" w:styleId="para50">
    <w:name w:val="List Bullet 3"/>
    <w:qFormat/>
    <w:basedOn w:val="para12"/>
  </w:style>
  <w:style w:type="paragraph" w:styleId="para51" w:customStyle="1">
    <w:name w:val="Список 2 конец"/>
    <w:qFormat/>
    <w:basedOn w:val="para12"/>
    <w:next w:val="para50"/>
  </w:style>
  <w:style w:type="paragraph" w:styleId="para52">
    <w:name w:val="List Continue 2"/>
    <w:qFormat/>
    <w:basedOn w:val="para12"/>
  </w:style>
  <w:style w:type="paragraph" w:styleId="para53" w:customStyle="1">
    <w:name w:val="Список 3 начало"/>
    <w:qFormat/>
    <w:basedOn w:val="para12"/>
    <w:next w:val="para54"/>
  </w:style>
  <w:style w:type="paragraph" w:styleId="para54">
    <w:name w:val="List Bullet 4"/>
    <w:qFormat/>
    <w:basedOn w:val="para12"/>
  </w:style>
  <w:style w:type="paragraph" w:styleId="para55" w:customStyle="1">
    <w:name w:val="Список 3 конец"/>
    <w:qFormat/>
    <w:basedOn w:val="para12"/>
    <w:next w:val="para54"/>
  </w:style>
  <w:style w:type="paragraph" w:styleId="para56">
    <w:name w:val="List Continue 3"/>
    <w:qFormat/>
    <w:basedOn w:val="para12"/>
  </w:style>
  <w:style w:type="paragraph" w:styleId="para57" w:customStyle="1">
    <w:name w:val="Список 4 начало"/>
    <w:qFormat/>
    <w:basedOn w:val="para12"/>
    <w:next w:val="para58"/>
  </w:style>
  <w:style w:type="paragraph" w:styleId="para58">
    <w:name w:val="List Bullet 5"/>
    <w:qFormat/>
    <w:basedOn w:val="para12"/>
  </w:style>
  <w:style w:type="paragraph" w:styleId="para59" w:customStyle="1">
    <w:name w:val="Список 4 конец"/>
    <w:qFormat/>
    <w:basedOn w:val="para12"/>
    <w:next w:val="para58"/>
  </w:style>
  <w:style w:type="paragraph" w:styleId="para60">
    <w:name w:val="List Continue 4"/>
    <w:qFormat/>
    <w:basedOn w:val="para12"/>
  </w:style>
  <w:style w:type="paragraph" w:styleId="para61" w:customStyle="1">
    <w:name w:val="Список 5 начало"/>
    <w:qFormat/>
    <w:basedOn w:val="para12"/>
    <w:next w:val="para62"/>
  </w:style>
  <w:style w:type="paragraph" w:styleId="para62">
    <w:name w:val="List Number"/>
    <w:qFormat/>
    <w:basedOn w:val="para12"/>
  </w:style>
  <w:style w:type="paragraph" w:styleId="para63" w:customStyle="1">
    <w:name w:val="Список 5 конец"/>
    <w:qFormat/>
    <w:basedOn w:val="para12"/>
    <w:next w:val="para62"/>
  </w:style>
  <w:style w:type="paragraph" w:styleId="para64">
    <w:name w:val="List Continue 5"/>
    <w:qFormat/>
    <w:basedOn w:val="para12"/>
  </w:style>
  <w:style w:type="paragraph" w:styleId="para65" w:customStyle="1">
    <w:name w:val="Index Heading"/>
    <w:qFormat/>
    <w:basedOn w:val="para1"/>
  </w:style>
  <w:style w:type="paragraph" w:styleId="para66">
    <w:name w:val="index 1"/>
    <w:qFormat/>
    <w:basedOn w:val="para14"/>
  </w:style>
  <w:style w:type="paragraph" w:styleId="para67">
    <w:name w:val="index 2"/>
    <w:qFormat/>
    <w:basedOn w:val="para14"/>
  </w:style>
  <w:style w:type="paragraph" w:styleId="para68">
    <w:name w:val="index 3"/>
    <w:qFormat/>
    <w:basedOn w:val="para14"/>
  </w:style>
  <w:style w:type="paragraph" w:styleId="para69" w:customStyle="1">
    <w:name w:val="Разделитель предметного указателя"/>
    <w:qFormat/>
    <w:basedOn w:val="para14"/>
  </w:style>
  <w:style w:type="paragraph" w:styleId="para70">
    <w:name w:val="TOC Heading"/>
    <w:qFormat/>
    <w:basedOn w:val="para1"/>
    <w:next w:val="para71"/>
  </w:style>
  <w:style w:type="paragraph" w:styleId="para71">
    <w:name w:val="toc 1"/>
    <w:qFormat/>
    <w:basedOn w:val="para14"/>
    <w:pPr>
      <w:tabs defTabSz="709">
        <w:tab w:val="right" w:pos="9638" w:leader="dot"/>
      </w:tabs>
    </w:pPr>
  </w:style>
  <w:style w:type="paragraph" w:styleId="para72">
    <w:name w:val="toc 2"/>
    <w:qFormat/>
    <w:basedOn w:val="para14"/>
    <w:pPr>
      <w:tabs defTabSz="709">
        <w:tab w:val="right" w:pos="9355" w:leader="dot"/>
      </w:tabs>
    </w:pPr>
  </w:style>
  <w:style w:type="paragraph" w:styleId="para73">
    <w:name w:val="toc 3"/>
    <w:qFormat/>
    <w:basedOn w:val="para14"/>
    <w:pPr>
      <w:tabs defTabSz="709">
        <w:tab w:val="right" w:pos="9072" w:leader="dot"/>
      </w:tabs>
    </w:pPr>
  </w:style>
  <w:style w:type="paragraph" w:styleId="para74">
    <w:name w:val="toc 4"/>
    <w:qFormat/>
    <w:basedOn w:val="para14"/>
    <w:pPr>
      <w:tabs defTabSz="709">
        <w:tab w:val="right" w:pos="8789" w:leader="dot"/>
      </w:tabs>
    </w:pPr>
  </w:style>
  <w:style w:type="paragraph" w:styleId="para75">
    <w:name w:val="toc 5"/>
    <w:qFormat/>
    <w:basedOn w:val="para14"/>
    <w:pPr>
      <w:tabs defTabSz="709">
        <w:tab w:val="right" w:pos="8506" w:leader="dot"/>
      </w:tabs>
    </w:pPr>
  </w:style>
  <w:style w:type="paragraph" w:styleId="para76" w:customStyle="1">
    <w:name w:val="Заголовок указателей пользователя"/>
    <w:qFormat/>
    <w:basedOn w:val="para1"/>
  </w:style>
  <w:style w:type="paragraph" w:styleId="para77" w:customStyle="1">
    <w:name w:val="Указатель пользователя 1"/>
    <w:qFormat/>
    <w:basedOn w:val="para14"/>
    <w:pPr>
      <w:tabs defTabSz="709">
        <w:tab w:val="right" w:pos="9638" w:leader="dot"/>
      </w:tabs>
    </w:pPr>
  </w:style>
  <w:style w:type="paragraph" w:styleId="para78" w:customStyle="1">
    <w:name w:val="Указатель пользователя 2"/>
    <w:qFormat/>
    <w:basedOn w:val="para14"/>
    <w:pPr>
      <w:tabs defTabSz="709">
        <w:tab w:val="right" w:pos="9355" w:leader="dot"/>
      </w:tabs>
    </w:pPr>
  </w:style>
  <w:style w:type="paragraph" w:styleId="para79" w:customStyle="1">
    <w:name w:val="Указатель пользователя 3"/>
    <w:qFormat/>
    <w:basedOn w:val="para14"/>
    <w:pPr>
      <w:tabs defTabSz="709">
        <w:tab w:val="right" w:pos="9072" w:leader="dot"/>
      </w:tabs>
    </w:pPr>
  </w:style>
  <w:style w:type="paragraph" w:styleId="para80" w:customStyle="1">
    <w:name w:val="Указатель пользователя 4"/>
    <w:qFormat/>
    <w:basedOn w:val="para14"/>
    <w:pPr>
      <w:tabs defTabSz="709">
        <w:tab w:val="right" w:pos="8789" w:leader="dot"/>
      </w:tabs>
    </w:pPr>
  </w:style>
  <w:style w:type="paragraph" w:styleId="para81" w:customStyle="1">
    <w:name w:val="Указатель пользователя 5"/>
    <w:qFormat/>
    <w:basedOn w:val="para14"/>
    <w:pPr>
      <w:tabs defTabSz="709">
        <w:tab w:val="right" w:pos="8506" w:leader="dot"/>
      </w:tabs>
    </w:pPr>
  </w:style>
  <w:style w:type="paragraph" w:styleId="para82">
    <w:name w:val="toc 6"/>
    <w:qFormat/>
    <w:basedOn w:val="para14"/>
    <w:pPr>
      <w:tabs defTabSz="709">
        <w:tab w:val="right" w:pos="8223" w:leader="dot"/>
      </w:tabs>
    </w:pPr>
  </w:style>
  <w:style w:type="paragraph" w:styleId="para83">
    <w:name w:val="toc 7"/>
    <w:qFormat/>
    <w:basedOn w:val="para14"/>
    <w:pPr>
      <w:tabs defTabSz="709">
        <w:tab w:val="right" w:pos="7940" w:leader="dot"/>
      </w:tabs>
    </w:pPr>
  </w:style>
  <w:style w:type="paragraph" w:styleId="para84">
    <w:name w:val="toc 8"/>
    <w:qFormat/>
    <w:basedOn w:val="para14"/>
    <w:pPr>
      <w:tabs defTabSz="709">
        <w:tab w:val="right" w:pos="7657" w:leader="dot"/>
      </w:tabs>
    </w:pPr>
  </w:style>
  <w:style w:type="paragraph" w:styleId="para85">
    <w:name w:val="toc 9"/>
    <w:qFormat/>
    <w:basedOn w:val="para14"/>
    <w:pPr>
      <w:tabs defTabSz="709">
        <w:tab w:val="right" w:pos="7374" w:leader="dot"/>
      </w:tabs>
    </w:pPr>
  </w:style>
  <w:style w:type="paragraph" w:styleId="para86" w:customStyle="1">
    <w:name w:val="Оглавление 10"/>
    <w:qFormat/>
    <w:basedOn w:val="para14"/>
    <w:pPr>
      <w:tabs defTabSz="709">
        <w:tab w:val="right" w:pos="7091" w:leader="dot"/>
      </w:tabs>
    </w:pPr>
  </w:style>
  <w:style w:type="paragraph" w:styleId="para87" w:customStyle="1">
    <w:name w:val="Illustration Index 1"/>
    <w:qFormat/>
    <w:basedOn w:val="para14"/>
    <w:pPr>
      <w:tabs defTabSz="709">
        <w:tab w:val="right" w:pos="9638" w:leader="dot"/>
      </w:tabs>
    </w:pPr>
  </w:style>
  <w:style w:type="paragraph" w:styleId="para88" w:customStyle="1">
    <w:name w:val="Заголовок списка объектов"/>
    <w:qFormat/>
    <w:basedOn w:val="para1"/>
  </w:style>
  <w:style w:type="paragraph" w:styleId="para89" w:customStyle="1">
    <w:name w:val="Список объектов 1"/>
    <w:qFormat/>
    <w:basedOn w:val="para14"/>
    <w:pPr>
      <w:tabs defTabSz="709">
        <w:tab w:val="right" w:pos="9638" w:leader="dot"/>
      </w:tabs>
    </w:pPr>
  </w:style>
  <w:style w:type="paragraph" w:styleId="para90" w:customStyle="1">
    <w:name w:val="Заголовок списка таблиц"/>
    <w:qFormat/>
    <w:basedOn w:val="para1"/>
  </w:style>
  <w:style w:type="paragraph" w:styleId="para91" w:customStyle="1">
    <w:name w:val="Список таблиц 1"/>
    <w:qFormat/>
    <w:basedOn w:val="para14"/>
    <w:pPr>
      <w:tabs defTabSz="709">
        <w:tab w:val="right" w:pos="9638" w:leader="dot"/>
      </w:tabs>
    </w:pPr>
  </w:style>
  <w:style w:type="paragraph" w:styleId="para92">
    <w:name w:val="Table of Authorities"/>
    <w:qFormat/>
    <w:basedOn w:val="para1"/>
  </w:style>
  <w:style w:type="paragraph" w:styleId="para93" w:customStyle="1">
    <w:name w:val="Библиография 1"/>
    <w:qFormat/>
    <w:basedOn w:val="para14"/>
    <w:pPr>
      <w:tabs defTabSz="709">
        <w:tab w:val="right" w:pos="9638" w:leader="dot"/>
      </w:tabs>
    </w:pPr>
  </w:style>
  <w:style w:type="paragraph" w:styleId="para94" w:customStyle="1">
    <w:name w:val="Указатель пользователя 6"/>
    <w:qFormat/>
    <w:basedOn w:val="para14"/>
    <w:pPr>
      <w:tabs defTabSz="709">
        <w:tab w:val="right" w:pos="8223" w:leader="dot"/>
      </w:tabs>
    </w:pPr>
  </w:style>
  <w:style w:type="paragraph" w:styleId="para95" w:customStyle="1">
    <w:name w:val="Указатель пользователя 7"/>
    <w:qFormat/>
    <w:basedOn w:val="para14"/>
    <w:pPr>
      <w:tabs defTabSz="709">
        <w:tab w:val="right" w:pos="7940" w:leader="dot"/>
      </w:tabs>
    </w:pPr>
  </w:style>
  <w:style w:type="paragraph" w:styleId="para96" w:customStyle="1">
    <w:name w:val="Указатель пользователя 8"/>
    <w:qFormat/>
    <w:basedOn w:val="para14"/>
    <w:pPr>
      <w:tabs defTabSz="709">
        <w:tab w:val="right" w:pos="7657" w:leader="dot"/>
      </w:tabs>
    </w:pPr>
  </w:style>
  <w:style w:type="paragraph" w:styleId="para97" w:customStyle="1">
    <w:name w:val="Указатель пользователя 9"/>
    <w:qFormat/>
    <w:basedOn w:val="para14"/>
    <w:pPr>
      <w:tabs defTabSz="709">
        <w:tab w:val="right" w:pos="7374" w:leader="dot"/>
      </w:tabs>
    </w:pPr>
  </w:style>
  <w:style w:type="paragraph" w:styleId="para98" w:customStyle="1">
    <w:name w:val="Указатель пользователя 10"/>
    <w:qFormat/>
    <w:basedOn w:val="para14"/>
    <w:pPr>
      <w:tabs defTabSz="709">
        <w:tab w:val="right" w:pos="7091" w:leader="dot"/>
      </w:tabs>
    </w:pPr>
  </w:style>
  <w:style w:type="paragraph" w:styleId="para99" w:customStyle="1">
    <w:name w:val="Колонтитул"/>
    <w:qFormat/>
    <w:basedOn w:val="para0"/>
    <w:pPr>
      <w:suppressLineNumbers/>
      <w:tabs defTabSz="709">
        <w:tab w:val="center" w:pos="4819" w:leader="none"/>
        <w:tab w:val="right" w:pos="9638" w:leader="none"/>
      </w:tabs>
    </w:pPr>
  </w:style>
  <w:style w:type="paragraph" w:styleId="para100">
    <w:name w:val="Head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1" w:customStyle="1">
    <w:name w:val="Верх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2" w:customStyle="1">
    <w:name w:val="Верх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3">
    <w:name w:val="Foot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4" w:customStyle="1">
    <w:name w:val="Ниж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5" w:customStyle="1">
    <w:name w:val="Ниж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6" w:customStyle="1">
    <w:name w:val="Содержимое таблицы"/>
    <w:qFormat/>
    <w:basedOn w:val="para0"/>
  </w:style>
  <w:style w:type="paragraph" w:styleId="para107" w:customStyle="1">
    <w:name w:val="Заголовок таблицы"/>
    <w:qFormat/>
    <w:basedOn w:val="para106"/>
    <w:rPr>
      <w:b/>
    </w:rPr>
  </w:style>
  <w:style w:type="paragraph" w:styleId="para108" w:customStyle="1">
    <w:name w:val="Иллюстрация"/>
    <w:qFormat/>
    <w:basedOn w:val="para13"/>
    <w:pPr>
      <w:spacing/>
      <w:jc w:val="center"/>
      <w:tabs defTabSz="709"/>
    </w:pPr>
  </w:style>
  <w:style w:type="paragraph" w:styleId="para109" w:customStyle="1">
    <w:name w:val="Таблица"/>
    <w:qFormat/>
    <w:basedOn w:val="para13"/>
    <w:pPr>
      <w:spacing/>
      <w:jc w:val="center"/>
      <w:tabs defTabSz="709"/>
    </w:pPr>
  </w:style>
  <w:style w:type="paragraph" w:styleId="para110" w:customStyle="1">
    <w:name w:val="Текст"/>
    <w:qFormat/>
    <w:basedOn w:val="para13"/>
    <w:pPr>
      <w:spacing/>
      <w:jc w:val="center"/>
      <w:tabs defTabSz="709"/>
    </w:pPr>
  </w:style>
  <w:style w:type="paragraph" w:styleId="para111" w:customStyle="1">
    <w:name w:val="Содержимое врезки"/>
    <w:qFormat/>
    <w:basedOn w:val="para0"/>
  </w:style>
  <w:style w:type="paragraph" w:styleId="para112">
    <w:name w:val="Footnote Text"/>
    <w:qFormat/>
    <w:basedOn w:val="para0"/>
    <w:pPr>
      <w:spacing/>
      <w:jc w:val="left"/>
    </w:pPr>
  </w:style>
  <w:style w:type="paragraph" w:styleId="para113">
    <w:name w:val="Envelope Address"/>
    <w:qFormat/>
    <w:basedOn w:val="para0"/>
  </w:style>
  <w:style w:type="paragraph" w:styleId="para114">
    <w:name w:val="Envelope Return"/>
    <w:qFormat/>
    <w:basedOn w:val="para0"/>
  </w:style>
  <w:style w:type="paragraph" w:styleId="para115">
    <w:name w:val="Endnote Text"/>
    <w:qFormat/>
    <w:basedOn w:val="para0"/>
  </w:style>
  <w:style w:type="paragraph" w:styleId="para116">
    <w:name w:val="Table of Figures"/>
    <w:qFormat/>
    <w:basedOn w:val="para13"/>
    <w:pPr>
      <w:spacing/>
      <w:jc w:val="center"/>
      <w:tabs defTabSz="709"/>
    </w:pPr>
  </w:style>
  <w:style w:type="paragraph" w:styleId="para117" w:customStyle="1">
    <w:name w:val="Текст в заданном формате"/>
    <w:qFormat/>
    <w:basedOn w:val="para0"/>
  </w:style>
  <w:style w:type="paragraph" w:styleId="para118" w:customStyle="1">
    <w:name w:val="Горизонтальная линия"/>
    <w:qFormat/>
    <w:basedOn w:val="para0"/>
    <w:next w:val="para11"/>
    <w:pPr>
      <w:pBdr>
        <w:top w:val="nil" w:sz="0" w:space="3" w:color="000000" tmln="20, 20, 20, 0, 60"/>
        <w:left w:val="nil" w:sz="0" w:space="3" w:color="000000" tmln="20, 20, 20, 0, 60"/>
        <w:bottom w:val="single" w:sz="8" w:space="0" w:color="000000" tmln="20, 20, 20, 0, 0"/>
        <w:right w:val="nil" w:sz="0" w:space="3" w:color="000000" tmln="20, 20, 20, 0, 60"/>
        <w:between w:val="nil" w:sz="0" w:space="0" w:color="000000" tmln="20, 20, 20, 0, 0"/>
      </w:pBdr>
      <w:shd w:val="none"/>
    </w:pPr>
    <w:rPr>
      <w:sz w:val="4"/>
    </w:rPr>
  </w:style>
  <w:style w:type="paragraph" w:styleId="para119" w:customStyle="1">
    <w:name w:val="Содержимое списка"/>
    <w:qFormat/>
    <w:basedOn w:val="para0"/>
  </w:style>
  <w:style w:type="paragraph" w:styleId="para120" w:customStyle="1">
    <w:name w:val="Заголовок списка"/>
    <w:qFormat/>
    <w:basedOn w:val="para0"/>
    <w:next w:val="para119"/>
  </w:style>
  <w:style w:type="paragraph" w:styleId="para121" w:customStyle="1">
    <w:name w:val="Гриф_Экземпляр"/>
    <w:qFormat/>
    <w:basedOn w:val="para0"/>
    <w:rPr>
      <w:sz w:val="24"/>
    </w:rPr>
  </w:style>
  <w:style w:type="paragraph" w:styleId="para122" w:customStyle="1">
    <w:name w:val="Исполнитель документа"/>
    <w:qFormat/>
    <w:basedOn w:val="para0"/>
    <w:pPr>
      <w:spacing/>
      <w:jc w:val="left"/>
    </w:pPr>
    <w:rPr>
      <w:sz w:val="24"/>
    </w:rPr>
  </w:style>
  <w:style w:type="paragraph" w:styleId="para123" w:customStyle="1">
    <w:name w:val="Заголовок списка иллюстраций"/>
    <w:qFormat/>
    <w:basedOn w:val="para1"/>
    <w:pPr>
      <w:suppressLineNumbers/>
    </w:pPr>
  </w:style>
  <w:style w:type="paragraph" w:styleId="para124" w:customStyle="1">
    <w:name w:val="ConsPlusNormal"/>
    <w:qFormat/>
    <w:pPr>
      <w:spacing/>
      <w:jc w:val="left"/>
    </w:pPr>
    <w:rPr>
      <w:rFonts w:ascii="Arial" w:hAnsi="Arial" w:eastAsia="Times New Roman" w:cs="Arial"/>
      <w:kern w:val="1"/>
      <w:lang w:val="ru-ru" w:eastAsia="ru-ru" w:bidi="ar-sa"/>
    </w:rPr>
  </w:style>
  <w:style w:type="paragraph" w:styleId="para125" w:customStyle="1">
    <w:name w:val="ConsPlusNonformat"/>
    <w:qFormat/>
    <w:pPr>
      <w:spacing/>
      <w:jc w:val="left"/>
    </w:pPr>
    <w:rPr>
      <w:rFonts w:ascii="Courier New" w:hAnsi="Courier New" w:eastAsia="Times New Roman" w:cs="Courier New"/>
      <w:kern w:val="1"/>
      <w:lang w:val="ru-ru" w:eastAsia="ru-ru" w:bidi="ar-sa"/>
    </w:rPr>
  </w:style>
  <w:style w:type="character" w:styleId="char0" w:default="1">
    <w:name w:val="Default Paragraph Font"/>
  </w:style>
  <w:style w:type="character" w:styleId="char1" w:customStyle="1">
    <w:name w:val="Символ нумерации"/>
  </w:style>
  <w:style w:type="character" w:styleId="char2" w:customStyle="1">
    <w:name w:val="Маркеры"/>
    <w:rPr>
      <w:rFonts w:ascii="OpenSymbol" w:hAnsi="OpenSymbol" w:eastAsia="OpenSymbol" w:cs="OpenSymbol"/>
    </w:rPr>
  </w:style>
  <w:style w:type="character" w:styleId="char3" w:customStyle="1">
    <w:name w:val="Символ сноски"/>
  </w:style>
  <w:style w:type="character" w:styleId="char4">
    <w:name w:val="Footnote Reference"/>
    <w:rPr>
      <w:vertAlign w:val="superscript"/>
    </w:rPr>
  </w:style>
  <w:style w:type="character" w:styleId="char5">
    <w:name w:val="Page Number"/>
  </w:style>
  <w:style w:type="character" w:styleId="char6" w:customStyle="1">
    <w:name w:val="Символы названия"/>
  </w:style>
  <w:style w:type="character" w:styleId="char7" w:customStyle="1">
    <w:name w:val="Буквица"/>
  </w:style>
  <w:style w:type="character" w:styleId="char8">
    <w:name w:val="Hyperlink"/>
    <w:rPr>
      <w:color w:val="000080"/>
      <w:u w:color="auto" w:val="single"/>
      <w:noProof w:val="1"/>
    </w:rPr>
  </w:style>
  <w:style w:type="character" w:styleId="char9">
    <w:name w:val="FollowedHyperlink"/>
    <w:rPr>
      <w:color w:val="800000"/>
      <w:u w:color="auto" w:val="single"/>
      <w:noProof w:val="1"/>
    </w:rPr>
  </w:style>
  <w:style w:type="character" w:styleId="char10" w:customStyle="1">
    <w:name w:val="Заполнитель"/>
    <w:rPr>
      <w:smallCaps w:percent="80"/>
      <w:color w:val="008080"/>
      <w:u w:color="auto" w:val="dotted"/>
    </w:rPr>
  </w:style>
  <w:style w:type="character" w:styleId="char11" w:customStyle="1">
    <w:name w:val="Ссылка указателя"/>
  </w:style>
  <w:style w:type="character" w:styleId="char12" w:customStyle="1">
    <w:name w:val="Символ концевой сноски"/>
  </w:style>
  <w:style w:type="character" w:styleId="char13">
    <w:name w:val="Line Number"/>
  </w:style>
  <w:style w:type="character" w:styleId="char14" w:customStyle="1">
    <w:name w:val="Основной элемент указателя"/>
    <w:rPr>
      <w:b/>
      <w:bCs/>
    </w:rPr>
  </w:style>
  <w:style w:type="character" w:styleId="char15">
    <w:name w:val="Endnote Reference"/>
    <w:rPr>
      <w:vertAlign w:val="superscript"/>
    </w:rPr>
  </w:style>
  <w:style w:type="character" w:styleId="char16" w:customStyle="1">
    <w:name w:val="Фуригана"/>
    <w:rPr>
      <w:sz w:val="12"/>
      <w:szCs w:val="12"/>
      <w:u w:color="auto" w:val="none"/>
    </w:rPr>
  </w:style>
  <w:style w:type="character" w:styleId="char17" w:customStyle="1">
    <w:name w:val="Вертикальное направление символов"/>
  </w:style>
  <w:style w:type="character" w:styleId="char18">
    <w:name w:val="Emphasis"/>
    <w:rPr>
      <w:i/>
      <w:iCs/>
    </w:rPr>
  </w:style>
  <w:style w:type="character" w:styleId="char19" w:customStyle="1">
    <w:name w:val="Цитата"/>
    <w:rPr>
      <w:i/>
      <w:iCs/>
    </w:rPr>
  </w:style>
  <w:style w:type="character" w:styleId="char20">
    <w:name w:val="Strong"/>
    <w:rPr>
      <w:b/>
      <w:bCs/>
    </w:rPr>
  </w:style>
  <w:style w:type="character" w:styleId="char21" w:customStyle="1">
    <w:name w:val="Исходный текст"/>
    <w:rPr>
      <w:rFonts w:ascii="Liberation Mono" w:hAnsi="Liberation Mono" w:eastAsia="Liberation Mono" w:cs="Liberation Mono"/>
    </w:rPr>
  </w:style>
  <w:style w:type="character" w:styleId="char22" w:customStyle="1">
    <w:name w:val="Пример"/>
    <w:rPr>
      <w:rFonts w:ascii="Liberation Mono" w:hAnsi="Liberation Mono" w:eastAsia="Liberation Mono" w:cs="Liberation Mono"/>
    </w:rPr>
  </w:style>
  <w:style w:type="character" w:styleId="char23" w:customStyle="1">
    <w:name w:val="Ввод пользователя"/>
    <w:rPr>
      <w:rFonts w:ascii="Liberation Mono" w:hAnsi="Liberation Mono" w:eastAsia="Liberation Mono" w:cs="Liberation Mono"/>
    </w:rPr>
  </w:style>
  <w:style w:type="character" w:styleId="char24" w:customStyle="1">
    <w:name w:val="Переменная"/>
    <w:rPr>
      <w:i/>
      <w:iCs/>
    </w:rPr>
  </w:style>
  <w:style w:type="character" w:styleId="char25" w:customStyle="1">
    <w:name w:val="Определение"/>
  </w:style>
  <w:style w:type="character" w:styleId="char26" w:customStyle="1">
    <w:name w:val="Непропорциональный текст"/>
    <w:rPr>
      <w:rFonts w:ascii="Liberation Mono" w:hAnsi="Liberation Mono" w:eastAsia="Liberation Mono" w:cs="Liberation Mono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Relationship Id="rId9" Type="http://schemas.openxmlformats.org/officeDocument/2006/relationships/hyperlink" Target="http://www.anzhero.ru/" TargetMode="External"/><Relationship Id="rId10" Type="http://schemas.openxmlformats.org/officeDocument/2006/relationships/image" Target="media/image2.png"/><Relationship Id="rId11" Type="http://schemas.openxmlformats.org/officeDocument/2006/relationships/image" Target="media/image3.wmf"/><Relationship Id="rId12" Type="http://schemas.openxmlformats.org/officeDocument/2006/relationships/hyperlink" Target="../&#1053;&#1072;&#1083;&#1086;&#1075;&#1086;&#1074;&#1099;&#1077;%20&#1088;&#1072;&#1089;&#1093;&#1086;&#1076;&#1099;/{&#1050;&#1086;&#1085;&#1089;&#1091;&#1083;&#1100;&#1090;&#1072;&#1085;&#1090;&#1055;&#1083;&#1102;&#1089;}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PT Astra Serif"/>
        <a:ea typeface="Source Han Sans CN Regular"/>
        <a:cs typeface="Lohit Devanagari"/>
      </a:majorFont>
      <a:minorFont>
        <a:latin typeface="PT Astra Serif"/>
        <a:ea typeface="Source Han Sans CN Regular"/>
        <a:cs typeface="Lohit Devanaga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Кемеровской области - Кузбасса от 30.12.2019 N 773(ред. от 28.08.2025)"Об утверждении Положения о формировании перечня налоговых расходов Кемеровской области - Кузбасса и оценке налоговых расходов Кемеровской области - Кузбасса"</dc:title>
  <dc:subject/>
  <dc:creator/>
  <cp:keywords/>
  <dc:description/>
  <cp:lastModifiedBy/>
  <cp:revision>19</cp:revision>
  <cp:lastPrinted>2025-09-16T09:57:10Z</cp:lastPrinted>
  <dcterms:created xsi:type="dcterms:W3CDTF">2025-09-15T11:26:00Z</dcterms:created>
  <dcterms:modified xsi:type="dcterms:W3CDTF">2025-09-26T07:37:31Z</dcterms:modified>
</cp:coreProperties>
</file>